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740" w:rsidRDefault="00350B25" w:rsidP="00350B25">
      <w:pPr>
        <w:spacing w:line="360" w:lineRule="auto"/>
        <w:jc w:val="center"/>
        <w:rPr>
          <w:sz w:val="24"/>
          <w:szCs w:val="24"/>
          <w:lang w:val="es-ES_tradnl"/>
        </w:rPr>
      </w:pPr>
      <w:bookmarkStart w:id="0" w:name="_GoBack"/>
      <w:bookmarkEnd w:id="0"/>
      <w:r>
        <w:rPr>
          <w:sz w:val="24"/>
          <w:szCs w:val="24"/>
          <w:lang w:val="es-ES_tradnl"/>
        </w:rPr>
        <w:t>“P</w:t>
      </w:r>
      <w:r w:rsidR="006B7ADD" w:rsidRPr="00997C05">
        <w:rPr>
          <w:sz w:val="24"/>
          <w:szCs w:val="24"/>
          <w:lang w:val="es-ES_tradnl"/>
        </w:rPr>
        <w:t>rincipios para una Constitución Democrática</w:t>
      </w:r>
      <w:r w:rsidR="00E87A0F" w:rsidRPr="00997C05">
        <w:rPr>
          <w:sz w:val="24"/>
          <w:szCs w:val="24"/>
          <w:lang w:val="es-ES_tradnl"/>
        </w:rPr>
        <w:t xml:space="preserve"> en Chile</w:t>
      </w:r>
      <w:r>
        <w:rPr>
          <w:sz w:val="24"/>
          <w:szCs w:val="24"/>
          <w:lang w:val="es-ES_tradnl"/>
        </w:rPr>
        <w:t xml:space="preserve"> desde la perspectiva del Derecho Internacional de Derechos Humanos”</w:t>
      </w:r>
    </w:p>
    <w:p w:rsidR="00415D32" w:rsidRPr="00997C05" w:rsidRDefault="00415D32" w:rsidP="00350B25">
      <w:pPr>
        <w:spacing w:line="360" w:lineRule="auto"/>
        <w:jc w:val="center"/>
        <w:rPr>
          <w:sz w:val="24"/>
          <w:szCs w:val="24"/>
          <w:lang w:val="es-ES_tradnl"/>
        </w:rPr>
      </w:pPr>
    </w:p>
    <w:p w:rsidR="00350B25" w:rsidRDefault="006B7ADD" w:rsidP="00350B25">
      <w:pPr>
        <w:spacing w:line="360" w:lineRule="auto"/>
        <w:ind w:left="4956" w:firstLine="708"/>
        <w:rPr>
          <w:sz w:val="24"/>
          <w:szCs w:val="24"/>
          <w:lang w:val="es-ES_tradnl"/>
        </w:rPr>
      </w:pPr>
      <w:r w:rsidRPr="00997C05">
        <w:rPr>
          <w:sz w:val="24"/>
          <w:szCs w:val="24"/>
          <w:lang w:val="es-ES_tradnl"/>
        </w:rPr>
        <w:t>Liliana Galdámez</w:t>
      </w:r>
      <w:r w:rsidR="00F03692">
        <w:rPr>
          <w:rStyle w:val="Refdenotaalpie"/>
          <w:sz w:val="24"/>
          <w:szCs w:val="24"/>
          <w:lang w:val="es-ES_tradnl"/>
        </w:rPr>
        <w:footnoteReference w:id="1"/>
      </w:r>
      <w:r w:rsidR="00350B25" w:rsidRPr="00350B25">
        <w:rPr>
          <w:sz w:val="24"/>
          <w:szCs w:val="24"/>
          <w:lang w:val="es-ES_tradnl"/>
        </w:rPr>
        <w:t xml:space="preserve"> </w:t>
      </w:r>
    </w:p>
    <w:p w:rsidR="00350B25" w:rsidRPr="00997C05" w:rsidRDefault="00350B25" w:rsidP="00350B25">
      <w:pPr>
        <w:spacing w:line="360" w:lineRule="auto"/>
        <w:ind w:left="4956" w:firstLine="708"/>
        <w:rPr>
          <w:sz w:val="24"/>
          <w:szCs w:val="24"/>
          <w:lang w:val="es-ES_tradnl"/>
        </w:rPr>
      </w:pPr>
      <w:r w:rsidRPr="00997C05">
        <w:rPr>
          <w:sz w:val="24"/>
          <w:szCs w:val="24"/>
          <w:lang w:val="es-ES_tradnl"/>
        </w:rPr>
        <w:t>Raúl Allard</w:t>
      </w:r>
      <w:r w:rsidR="004F6F4E">
        <w:rPr>
          <w:rStyle w:val="Refdenotaalpie"/>
          <w:sz w:val="24"/>
          <w:szCs w:val="24"/>
          <w:lang w:val="es-ES_tradnl"/>
        </w:rPr>
        <w:footnoteReference w:id="2"/>
      </w:r>
    </w:p>
    <w:p w:rsidR="006B7ADD" w:rsidRPr="00997C05" w:rsidRDefault="006B7ADD" w:rsidP="00997C05">
      <w:pPr>
        <w:spacing w:line="360" w:lineRule="auto"/>
        <w:ind w:left="4956" w:firstLine="708"/>
        <w:rPr>
          <w:sz w:val="24"/>
          <w:szCs w:val="24"/>
          <w:lang w:val="es-ES_tradnl"/>
        </w:rPr>
      </w:pPr>
    </w:p>
    <w:p w:rsidR="006B7ADD" w:rsidRPr="00997C05" w:rsidRDefault="006B7ADD" w:rsidP="00997C05">
      <w:pPr>
        <w:spacing w:line="360" w:lineRule="auto"/>
        <w:rPr>
          <w:sz w:val="24"/>
          <w:szCs w:val="24"/>
          <w:lang w:val="es-ES_tradnl"/>
        </w:rPr>
      </w:pPr>
      <w:r w:rsidRPr="00997C05">
        <w:rPr>
          <w:sz w:val="24"/>
          <w:szCs w:val="24"/>
          <w:lang w:val="es-ES_tradnl"/>
        </w:rPr>
        <w:t>Introducción</w:t>
      </w:r>
    </w:p>
    <w:p w:rsidR="00E87A0F" w:rsidRPr="00997C05" w:rsidRDefault="00E87A0F" w:rsidP="00997C05">
      <w:pPr>
        <w:spacing w:after="120" w:line="360" w:lineRule="auto"/>
        <w:jc w:val="both"/>
        <w:rPr>
          <w:sz w:val="24"/>
          <w:szCs w:val="24"/>
        </w:rPr>
      </w:pPr>
      <w:r w:rsidRPr="00997C05">
        <w:rPr>
          <w:sz w:val="24"/>
          <w:szCs w:val="24"/>
        </w:rPr>
        <w:t xml:space="preserve">Una Constitución, una ley fundamental que se dicta en condiciones tan irregulares como la vivida por Chile entre 1973 y 1990 y que subsiste más allá de la dictadura, evidente y paulatinamente </w:t>
      </w:r>
      <w:r w:rsidR="00335712">
        <w:rPr>
          <w:sz w:val="24"/>
          <w:szCs w:val="24"/>
        </w:rPr>
        <w:t>irá planteando problemas en su aplicación</w:t>
      </w:r>
      <w:r w:rsidRPr="00997C05">
        <w:rPr>
          <w:sz w:val="24"/>
          <w:szCs w:val="24"/>
        </w:rPr>
        <w:t xml:space="preserve">. De este asunto dan cuenta las sucesivas reformas de las que ha sido objeto, que han buscado eliminar </w:t>
      </w:r>
      <w:r w:rsidR="00760112" w:rsidRPr="00997C05">
        <w:rPr>
          <w:sz w:val="24"/>
          <w:szCs w:val="24"/>
        </w:rPr>
        <w:t>sus</w:t>
      </w:r>
      <w:r w:rsidRPr="00997C05">
        <w:rPr>
          <w:sz w:val="24"/>
          <w:szCs w:val="24"/>
        </w:rPr>
        <w:t xml:space="preserve"> enclaves autoritarios y las deficiencias del sistema de derechos, pero que difícilmente pueden resolver el problema de ilegitimidad que persigue a esta Constitución.</w:t>
      </w:r>
    </w:p>
    <w:p w:rsidR="00760112" w:rsidRPr="00997C05" w:rsidRDefault="00E87A0F" w:rsidP="00997C05">
      <w:pPr>
        <w:spacing w:after="120" w:line="360" w:lineRule="auto"/>
        <w:jc w:val="both"/>
        <w:rPr>
          <w:sz w:val="24"/>
          <w:szCs w:val="24"/>
        </w:rPr>
      </w:pPr>
      <w:r w:rsidRPr="00997C05">
        <w:rPr>
          <w:sz w:val="24"/>
          <w:szCs w:val="24"/>
        </w:rPr>
        <w:t xml:space="preserve">La Constitución chilena de 1980 y la defensa de su vigencia ha sido uno de los costos más altos que ha debido asumir el país para asegurar la transición a la democracia. Esta Constitución fue concebida por la Junta Militar que derrocó  por medio de un golpe de Estado al Presidente Salvador Allende y fue redactada por una comisión asesora; desde los inicios de la transición más de 100 artículos han sido reformados para eliminar sus enclaves más autoritarios, especialmente el rol de las Fuerzas Armadas en la tutela de las instituciones democráticas. Tan profundas han sido sus reformas que con motivo de la reforma de 2005 el Presidente Ricardo Lagos proclamó: "Ahora podemos decir que la transición en Chile ha concluido. Ahora tenemos un cuerpo constitucional que está acorde con la tradición histórica de Chile y lo más </w:t>
      </w:r>
      <w:r w:rsidRPr="00997C05">
        <w:rPr>
          <w:sz w:val="24"/>
          <w:szCs w:val="24"/>
        </w:rPr>
        <w:lastRenderedPageBreak/>
        <w:t xml:space="preserve">importante, un cuerpo constitucional que fue aceptado por la </w:t>
      </w:r>
      <w:r w:rsidR="00760112" w:rsidRPr="00997C05">
        <w:rPr>
          <w:sz w:val="24"/>
          <w:szCs w:val="24"/>
        </w:rPr>
        <w:t>unanimidad en el Congreso Nacional"</w:t>
      </w:r>
      <w:r w:rsidR="00760112" w:rsidRPr="00997C05">
        <w:rPr>
          <w:rStyle w:val="Refdenotaalpie"/>
          <w:sz w:val="24"/>
          <w:szCs w:val="24"/>
        </w:rPr>
        <w:footnoteReference w:id="3"/>
      </w:r>
      <w:r w:rsidR="00760112" w:rsidRPr="00997C05">
        <w:rPr>
          <w:sz w:val="24"/>
          <w:szCs w:val="24"/>
        </w:rPr>
        <w:t xml:space="preserve">. </w:t>
      </w:r>
    </w:p>
    <w:p w:rsidR="00E87A0F" w:rsidRPr="00997C05" w:rsidRDefault="00760112" w:rsidP="00997C05">
      <w:pPr>
        <w:spacing w:after="120" w:line="360" w:lineRule="auto"/>
        <w:jc w:val="both"/>
        <w:rPr>
          <w:sz w:val="24"/>
          <w:szCs w:val="24"/>
        </w:rPr>
      </w:pPr>
      <w:r w:rsidRPr="00997C05">
        <w:rPr>
          <w:sz w:val="24"/>
          <w:szCs w:val="24"/>
        </w:rPr>
        <w:t>E</w:t>
      </w:r>
      <w:r w:rsidR="00E87A0F" w:rsidRPr="00997C05">
        <w:rPr>
          <w:sz w:val="24"/>
          <w:szCs w:val="24"/>
        </w:rPr>
        <w:t>l  origen no democrático de la Constitución de 1980 incide en el funcionamiento del sistema de derechos y su imposibilidad de actuar como un límite efectivo frente a los poderes públicos. Como bien señala Manuel Aragón: “La democracia es el principio legitimador de la Constitución, entendida ésta no sólo como forma política histórica (o como verdadera y no falsa forma de Estado) sino, sobre todo, como una forma jurídica específica, de tal manera que sólo a través del principio legitimador la Constitución adquiere su singular condición normativa, ya que es la democracia la que presta a la Constitución una determinada cualidad jurídica, en la que validez y legitimidad resultan enlazadas”</w:t>
      </w:r>
      <w:r w:rsidR="00E87A0F" w:rsidRPr="00997C05">
        <w:rPr>
          <w:rStyle w:val="Refdenotaalpie"/>
          <w:sz w:val="24"/>
          <w:szCs w:val="24"/>
        </w:rPr>
        <w:footnoteReference w:id="4"/>
      </w:r>
      <w:r w:rsidR="00E87A0F" w:rsidRPr="00997C05">
        <w:rPr>
          <w:sz w:val="24"/>
          <w:szCs w:val="24"/>
        </w:rPr>
        <w:t xml:space="preserve">. </w:t>
      </w:r>
    </w:p>
    <w:p w:rsidR="00E87A0F" w:rsidRPr="00997C05" w:rsidRDefault="00E87A0F" w:rsidP="00997C05">
      <w:pPr>
        <w:spacing w:after="120" w:line="360" w:lineRule="auto"/>
        <w:jc w:val="both"/>
        <w:rPr>
          <w:sz w:val="24"/>
          <w:szCs w:val="24"/>
        </w:rPr>
      </w:pPr>
      <w:r w:rsidRPr="00997C05">
        <w:rPr>
          <w:sz w:val="24"/>
          <w:szCs w:val="24"/>
        </w:rPr>
        <w:t>En Chile la relación entre Constitución y Democracia</w:t>
      </w:r>
      <w:r w:rsidRPr="00997C05">
        <w:rPr>
          <w:rStyle w:val="Refdenotaalpie"/>
          <w:sz w:val="24"/>
          <w:szCs w:val="24"/>
        </w:rPr>
        <w:footnoteReference w:id="5"/>
      </w:r>
      <w:r w:rsidRPr="00997C05">
        <w:rPr>
          <w:sz w:val="24"/>
          <w:szCs w:val="24"/>
        </w:rPr>
        <w:t xml:space="preserve"> se ha soslayado durante la transición, y si bien es cierto que las normas más repudiables de la Constitución de 1980 han sido eliminadas, todas sus reformas no son suficientes para resolver el problema de su ilegitimidad. </w:t>
      </w:r>
    </w:p>
    <w:p w:rsidR="00E87A0F" w:rsidRPr="00997C05" w:rsidRDefault="00E87A0F" w:rsidP="00997C05">
      <w:pPr>
        <w:spacing w:after="120" w:line="360" w:lineRule="auto"/>
        <w:jc w:val="both"/>
        <w:rPr>
          <w:sz w:val="24"/>
          <w:szCs w:val="24"/>
        </w:rPr>
      </w:pPr>
      <w:r w:rsidRPr="00997C05">
        <w:rPr>
          <w:sz w:val="24"/>
          <w:szCs w:val="24"/>
        </w:rPr>
        <w:t xml:space="preserve">Toda Constitución contiene valores y principios que la definen y orientan al intérprete cuando debe desentrañar el contenido y alcance de sus disposiciones. Por eso, el primer problema para interpretar </w:t>
      </w:r>
      <w:r w:rsidR="00760112" w:rsidRPr="00997C05">
        <w:rPr>
          <w:sz w:val="24"/>
          <w:szCs w:val="24"/>
        </w:rPr>
        <w:t>la C.80</w:t>
      </w:r>
      <w:r w:rsidRPr="00997C05">
        <w:rPr>
          <w:sz w:val="24"/>
          <w:szCs w:val="24"/>
        </w:rPr>
        <w:t xml:space="preserve"> se relaciona con las condiciones políticas y jurídicas existentes al momento de su formulación, porque como se ha dicho, la redacción original de la Constitución de 1980 fue elaborada durante la dictadura del </w:t>
      </w:r>
      <w:r w:rsidRPr="00997C05">
        <w:rPr>
          <w:sz w:val="24"/>
          <w:szCs w:val="24"/>
        </w:rPr>
        <w:lastRenderedPageBreak/>
        <w:t xml:space="preserve">general Pinochet, mientras que </w:t>
      </w:r>
      <w:r w:rsidR="00760112" w:rsidRPr="00997C05">
        <w:rPr>
          <w:sz w:val="24"/>
          <w:szCs w:val="24"/>
        </w:rPr>
        <w:t>sus reformas se desarrollan durante la transición a la democracia.</w:t>
      </w:r>
    </w:p>
    <w:p w:rsidR="006B7ADD" w:rsidRPr="00997C05" w:rsidRDefault="00E87A0F" w:rsidP="00997C05">
      <w:pPr>
        <w:spacing w:line="360" w:lineRule="auto"/>
        <w:jc w:val="both"/>
        <w:rPr>
          <w:sz w:val="24"/>
          <w:szCs w:val="24"/>
          <w:lang w:val="es-ES_tradnl"/>
        </w:rPr>
      </w:pPr>
      <w:r w:rsidRPr="00997C05">
        <w:rPr>
          <w:sz w:val="24"/>
          <w:szCs w:val="24"/>
        </w:rPr>
        <w:t>¿</w:t>
      </w:r>
      <w:r w:rsidR="00760112" w:rsidRPr="00997C05">
        <w:rPr>
          <w:sz w:val="24"/>
          <w:szCs w:val="24"/>
        </w:rPr>
        <w:t>Cómo interpretar esta Constitución</w:t>
      </w:r>
      <w:r w:rsidRPr="00997C05">
        <w:rPr>
          <w:sz w:val="24"/>
          <w:szCs w:val="24"/>
        </w:rPr>
        <w:t xml:space="preserve">? ¿Qué perspectivas han de tomarse en cuenta para la definición del sentido y alcance de </w:t>
      </w:r>
      <w:r w:rsidR="00760112" w:rsidRPr="00997C05">
        <w:rPr>
          <w:sz w:val="24"/>
          <w:szCs w:val="24"/>
        </w:rPr>
        <w:t>sus</w:t>
      </w:r>
      <w:r w:rsidRPr="00997C05">
        <w:rPr>
          <w:sz w:val="24"/>
          <w:szCs w:val="24"/>
        </w:rPr>
        <w:t xml:space="preserve"> norma</w:t>
      </w:r>
      <w:r w:rsidR="00760112" w:rsidRPr="00997C05">
        <w:rPr>
          <w:sz w:val="24"/>
          <w:szCs w:val="24"/>
        </w:rPr>
        <w:t>s</w:t>
      </w:r>
      <w:r w:rsidRPr="00997C05">
        <w:rPr>
          <w:sz w:val="24"/>
          <w:szCs w:val="24"/>
        </w:rPr>
        <w:t xml:space="preserve"> si su formulación se deb</w:t>
      </w:r>
      <w:r w:rsidR="00D15FD1">
        <w:rPr>
          <w:sz w:val="24"/>
          <w:szCs w:val="24"/>
        </w:rPr>
        <w:t>e a dos momentos tan distintos?</w:t>
      </w:r>
    </w:p>
    <w:p w:rsidR="00760112" w:rsidRPr="00997C05" w:rsidRDefault="00760112" w:rsidP="00997C05">
      <w:pPr>
        <w:spacing w:after="120" w:line="360" w:lineRule="auto"/>
        <w:jc w:val="both"/>
        <w:rPr>
          <w:sz w:val="24"/>
          <w:szCs w:val="24"/>
        </w:rPr>
      </w:pPr>
      <w:r w:rsidRPr="00997C05">
        <w:rPr>
          <w:sz w:val="24"/>
          <w:szCs w:val="24"/>
        </w:rPr>
        <w:t>El Capítulo sobre reformas constitucionales fue concebido para modificaciones parciales y no totales. Si existe un acuerdo democrático para redactar una nueva Constitución, esa voluntad no cuenta con un marco jurídico que regule este procedimiento. En esta materia es importante recordar que la Constitución Francesa de 1793 en el artículo 28, señala: “Un pueblo tiene siempre el derecho a revisar, reformar y cambiar su constitución. Una generación no puede imponer sus leyes a las generaciones futuras”.</w:t>
      </w:r>
    </w:p>
    <w:p w:rsidR="00760112" w:rsidRPr="00997C05" w:rsidRDefault="00760112" w:rsidP="00997C05">
      <w:pPr>
        <w:spacing w:after="120" w:line="360" w:lineRule="auto"/>
        <w:jc w:val="both"/>
        <w:rPr>
          <w:sz w:val="24"/>
          <w:szCs w:val="24"/>
        </w:rPr>
      </w:pPr>
      <w:r w:rsidRPr="00997C05">
        <w:rPr>
          <w:sz w:val="24"/>
          <w:szCs w:val="24"/>
        </w:rPr>
        <w:t>Todo el mecanismo de reforma de la Constitución del 1980 habla por sí mismo, expresa el autoritarismo y la voluntariosa e inútil vocación de de perpetuidad que tuvo el régimen militar y su sistema de valores para la construcción de su modelo de Estado. En esta materia dice Pedro de Vega, “se puede sostener que es en las normas de reforma donde el sistema constitucional se pone a prueba consigo mismo, y donde se valora el contenido y alcance del propio concepto de Constitución”</w:t>
      </w:r>
      <w:r w:rsidRPr="00997C05">
        <w:rPr>
          <w:rStyle w:val="Refdenotaalpie"/>
          <w:sz w:val="24"/>
          <w:szCs w:val="24"/>
        </w:rPr>
        <w:footnoteReference w:id="6"/>
      </w:r>
      <w:r w:rsidRPr="00997C05">
        <w:rPr>
          <w:sz w:val="24"/>
          <w:szCs w:val="24"/>
        </w:rPr>
        <w:t xml:space="preserve">. </w:t>
      </w:r>
    </w:p>
    <w:p w:rsidR="00760112" w:rsidRPr="00997C05" w:rsidRDefault="00760112" w:rsidP="00997C05">
      <w:pPr>
        <w:pStyle w:val="NormalWeb"/>
        <w:spacing w:before="0" w:beforeAutospacing="0" w:after="120" w:afterAutospacing="0" w:line="360" w:lineRule="auto"/>
        <w:jc w:val="both"/>
        <w:rPr>
          <w:rFonts w:asciiTheme="minorHAnsi" w:hAnsiTheme="minorHAnsi"/>
        </w:rPr>
      </w:pPr>
      <w:r w:rsidRPr="00997C05">
        <w:rPr>
          <w:rFonts w:asciiTheme="minorHAnsi" w:hAnsiTheme="minorHAnsi"/>
        </w:rPr>
        <w:t>La ausencia de un mecanismo que regule los procedimientos para acordar una nueva Constitución no hace imposible la reforma, pero plantea un problema de soluciones complejas. Asimismo, la inexistencia de un procedimiento que permita generar consensos sobre una nu</w:t>
      </w:r>
      <w:r w:rsidR="0073022D" w:rsidRPr="00997C05">
        <w:rPr>
          <w:rFonts w:asciiTheme="minorHAnsi" w:hAnsiTheme="minorHAnsi"/>
        </w:rPr>
        <w:t>eva Constitución está</w:t>
      </w:r>
      <w:r w:rsidRPr="00997C05">
        <w:rPr>
          <w:rFonts w:asciiTheme="minorHAnsi" w:hAnsiTheme="minorHAnsi"/>
        </w:rPr>
        <w:t xml:space="preserve"> directamente relacionada con el origen no democrático de esta Constitución, en este sentido señala Manuel Aragón que: </w:t>
      </w:r>
      <w:r w:rsidR="0073022D" w:rsidRPr="00997C05">
        <w:rPr>
          <w:rFonts w:asciiTheme="minorHAnsi" w:hAnsiTheme="minorHAnsi"/>
        </w:rPr>
        <w:t xml:space="preserve">“la </w:t>
      </w:r>
      <w:r w:rsidRPr="00997C05">
        <w:rPr>
          <w:rFonts w:asciiTheme="minorHAnsi" w:hAnsiTheme="minorHAnsi"/>
        </w:rPr>
        <w:t xml:space="preserve">juridificación de la soberanía popular comporta, inexcusablemente, el establecimiento de unas reglas sobre la formación de la voluntad soberana, pero no sobre el contenido de esa voluntad, porque el soberano constitucionalizado ha de tener la facultad de cambiar, radicalmente, en cualquier momento, de Constitución, o, dicho en otras </w:t>
      </w:r>
      <w:r w:rsidRPr="00997C05">
        <w:rPr>
          <w:rFonts w:asciiTheme="minorHAnsi" w:hAnsiTheme="minorHAnsi"/>
        </w:rPr>
        <w:lastRenderedPageBreak/>
        <w:t>palabras, el pueblo tiene que conservar la libertad de decidir, jurídicamente, su propio destino”</w:t>
      </w:r>
      <w:r w:rsidRPr="00997C05">
        <w:rPr>
          <w:rStyle w:val="Refdenotaalpie"/>
          <w:rFonts w:asciiTheme="minorHAnsi" w:hAnsiTheme="minorHAnsi"/>
        </w:rPr>
        <w:footnoteReference w:id="7"/>
      </w:r>
      <w:r w:rsidRPr="00997C05">
        <w:rPr>
          <w:rFonts w:asciiTheme="minorHAnsi" w:hAnsiTheme="minorHAnsi"/>
        </w:rPr>
        <w:t>.</w:t>
      </w:r>
    </w:p>
    <w:p w:rsidR="006B7ADD" w:rsidRPr="00997C05" w:rsidRDefault="0073022D" w:rsidP="00997C05">
      <w:pPr>
        <w:spacing w:line="360" w:lineRule="auto"/>
        <w:jc w:val="both"/>
        <w:rPr>
          <w:sz w:val="24"/>
          <w:szCs w:val="24"/>
        </w:rPr>
      </w:pPr>
      <w:r w:rsidRPr="00997C05">
        <w:rPr>
          <w:rFonts w:eastAsia="SimSun" w:cs="Times New Roman"/>
          <w:sz w:val="24"/>
          <w:szCs w:val="24"/>
          <w:lang w:eastAsia="zh-CN"/>
        </w:rPr>
        <w:t>En base a esta reflexión  es que proponemos enseguida algunos principios q</w:t>
      </w:r>
      <w:r w:rsidR="00335712">
        <w:rPr>
          <w:rFonts w:eastAsia="SimSun" w:cs="Times New Roman"/>
          <w:sz w:val="24"/>
          <w:szCs w:val="24"/>
          <w:lang w:eastAsia="zh-CN"/>
        </w:rPr>
        <w:t xml:space="preserve">ue consideramos fundamentales </w:t>
      </w:r>
      <w:r w:rsidR="005356B4">
        <w:rPr>
          <w:rFonts w:eastAsia="SimSun" w:cs="Times New Roman"/>
          <w:sz w:val="24"/>
          <w:szCs w:val="24"/>
          <w:lang w:eastAsia="zh-CN"/>
        </w:rPr>
        <w:t>para debatir en el marco de</w:t>
      </w:r>
      <w:r w:rsidRPr="00997C05">
        <w:rPr>
          <w:rFonts w:eastAsia="SimSun" w:cs="Times New Roman"/>
          <w:sz w:val="24"/>
          <w:szCs w:val="24"/>
          <w:lang w:eastAsia="zh-CN"/>
        </w:rPr>
        <w:t xml:space="preserve"> </w:t>
      </w:r>
      <w:r w:rsidR="00335712">
        <w:rPr>
          <w:rFonts w:eastAsia="SimSun" w:cs="Times New Roman"/>
          <w:sz w:val="24"/>
          <w:szCs w:val="24"/>
          <w:lang w:eastAsia="zh-CN"/>
        </w:rPr>
        <w:t xml:space="preserve">una </w:t>
      </w:r>
      <w:r w:rsidRPr="00997C05">
        <w:rPr>
          <w:rFonts w:eastAsia="SimSun" w:cs="Times New Roman"/>
          <w:sz w:val="24"/>
          <w:szCs w:val="24"/>
          <w:lang w:eastAsia="zh-CN"/>
        </w:rPr>
        <w:t>Constitución que garantice la democracia y el respeto de los derechos fundamentales.</w:t>
      </w:r>
    </w:p>
    <w:p w:rsidR="006B14A3" w:rsidRPr="003102EF" w:rsidRDefault="006B14A3" w:rsidP="00997C05">
      <w:pPr>
        <w:spacing w:line="360" w:lineRule="auto"/>
        <w:rPr>
          <w:sz w:val="24"/>
          <w:szCs w:val="24"/>
        </w:rPr>
      </w:pPr>
    </w:p>
    <w:p w:rsidR="00E90048" w:rsidRPr="00D80529" w:rsidRDefault="00E90048" w:rsidP="00D80529">
      <w:pPr>
        <w:pStyle w:val="Prrafodelista"/>
        <w:numPr>
          <w:ilvl w:val="0"/>
          <w:numId w:val="1"/>
        </w:numPr>
        <w:spacing w:line="360" w:lineRule="auto"/>
        <w:rPr>
          <w:i/>
          <w:sz w:val="24"/>
          <w:szCs w:val="24"/>
          <w:lang w:val="es-ES_tradnl"/>
        </w:rPr>
      </w:pPr>
      <w:r w:rsidRPr="00D80529">
        <w:rPr>
          <w:i/>
          <w:sz w:val="24"/>
          <w:szCs w:val="24"/>
          <w:lang w:val="es-ES_tradnl"/>
        </w:rPr>
        <w:t>Recepción del derecho internacional consuetudi</w:t>
      </w:r>
      <w:r w:rsidR="00F03692">
        <w:rPr>
          <w:i/>
          <w:sz w:val="24"/>
          <w:szCs w:val="24"/>
          <w:lang w:val="es-ES_tradnl"/>
        </w:rPr>
        <w:t>nario</w:t>
      </w:r>
    </w:p>
    <w:p w:rsidR="006B7ADD" w:rsidRPr="00997C05" w:rsidRDefault="002C5371" w:rsidP="00415D32">
      <w:pPr>
        <w:spacing w:line="360" w:lineRule="auto"/>
        <w:jc w:val="both"/>
        <w:rPr>
          <w:sz w:val="24"/>
          <w:szCs w:val="24"/>
          <w:lang w:val="es-ES_tradnl"/>
        </w:rPr>
      </w:pPr>
      <w:r w:rsidRPr="002C5371">
        <w:rPr>
          <w:sz w:val="24"/>
          <w:szCs w:val="24"/>
          <w:lang w:val="es-ES_tradnl"/>
        </w:rPr>
        <w:t xml:space="preserve">Las normas generales del derecho de gentes </w:t>
      </w:r>
      <w:r>
        <w:rPr>
          <w:sz w:val="24"/>
          <w:szCs w:val="24"/>
          <w:lang w:val="es-ES_tradnl"/>
        </w:rPr>
        <w:t xml:space="preserve">y el ius cogens internacional forman parte del Derecho interno y tienen primacía </w:t>
      </w:r>
      <w:r w:rsidRPr="002C5371">
        <w:rPr>
          <w:sz w:val="24"/>
          <w:szCs w:val="24"/>
          <w:lang w:val="es-ES_tradnl"/>
        </w:rPr>
        <w:t xml:space="preserve">y crearán derechos y deberes </w:t>
      </w:r>
      <w:r>
        <w:rPr>
          <w:sz w:val="24"/>
          <w:szCs w:val="24"/>
          <w:lang w:val="es-ES_tradnl"/>
        </w:rPr>
        <w:t>en el orden interno.</w:t>
      </w:r>
    </w:p>
    <w:p w:rsidR="006B7ADD" w:rsidRDefault="006B7ADD" w:rsidP="00415D32">
      <w:pPr>
        <w:pStyle w:val="Prrafodelista"/>
        <w:numPr>
          <w:ilvl w:val="0"/>
          <w:numId w:val="1"/>
        </w:numPr>
        <w:spacing w:line="360" w:lineRule="auto"/>
        <w:jc w:val="both"/>
        <w:rPr>
          <w:i/>
          <w:sz w:val="24"/>
          <w:szCs w:val="24"/>
          <w:lang w:val="es-ES_tradnl"/>
        </w:rPr>
      </w:pPr>
      <w:r w:rsidRPr="00D80529">
        <w:rPr>
          <w:i/>
          <w:sz w:val="24"/>
          <w:szCs w:val="24"/>
          <w:lang w:val="es-ES_tradnl"/>
        </w:rPr>
        <w:t xml:space="preserve">Los tratados internacionales ratificados y vigentes como canon de </w:t>
      </w:r>
      <w:r w:rsidR="00A33A79">
        <w:rPr>
          <w:i/>
          <w:sz w:val="24"/>
          <w:szCs w:val="24"/>
          <w:lang w:val="es-ES_tradnl"/>
        </w:rPr>
        <w:t xml:space="preserve">integración e </w:t>
      </w:r>
      <w:r w:rsidRPr="00D80529">
        <w:rPr>
          <w:i/>
          <w:sz w:val="24"/>
          <w:szCs w:val="24"/>
          <w:lang w:val="es-ES_tradnl"/>
        </w:rPr>
        <w:t>interpretación de los derechos fundamentales</w:t>
      </w:r>
    </w:p>
    <w:p w:rsidR="00415D32" w:rsidRPr="00A33A79" w:rsidRDefault="00A33A79" w:rsidP="00415D32">
      <w:pPr>
        <w:spacing w:line="360" w:lineRule="auto"/>
        <w:jc w:val="both"/>
        <w:rPr>
          <w:sz w:val="24"/>
          <w:szCs w:val="24"/>
          <w:lang w:val="es-ES_tradnl"/>
        </w:rPr>
      </w:pPr>
      <w:r>
        <w:rPr>
          <w:sz w:val="24"/>
          <w:szCs w:val="24"/>
          <w:lang w:val="es-ES_tradnl"/>
        </w:rPr>
        <w:t>L</w:t>
      </w:r>
      <w:r w:rsidRPr="00A33A79">
        <w:rPr>
          <w:sz w:val="24"/>
          <w:szCs w:val="24"/>
          <w:lang w:val="es-ES_tradnl"/>
        </w:rPr>
        <w:t>os derechos fundamentales</w:t>
      </w:r>
      <w:r>
        <w:rPr>
          <w:sz w:val="24"/>
          <w:szCs w:val="24"/>
          <w:lang w:val="es-ES_tradnl"/>
        </w:rPr>
        <w:t xml:space="preserve"> reconocidos en la Constitución </w:t>
      </w:r>
      <w:r w:rsidRPr="00A33A79">
        <w:rPr>
          <w:sz w:val="24"/>
          <w:szCs w:val="24"/>
          <w:lang w:val="es-ES_tradnl"/>
        </w:rPr>
        <w:t xml:space="preserve"> deberán ser interpretados e integrados en armonía con la Declaración Universal de los Derechos del Hombre</w:t>
      </w:r>
      <w:r>
        <w:rPr>
          <w:sz w:val="24"/>
          <w:szCs w:val="24"/>
          <w:lang w:val="es-ES_tradnl"/>
        </w:rPr>
        <w:t xml:space="preserve"> y los tratados ratificados por Chile y que se encuentren vigentes.</w:t>
      </w:r>
    </w:p>
    <w:p w:rsidR="00335712" w:rsidRPr="00A33A79" w:rsidRDefault="00335712" w:rsidP="00335712">
      <w:pPr>
        <w:spacing w:line="360" w:lineRule="auto"/>
        <w:rPr>
          <w:sz w:val="24"/>
          <w:szCs w:val="24"/>
          <w:lang w:val="es-ES_tradnl"/>
        </w:rPr>
      </w:pPr>
    </w:p>
    <w:p w:rsidR="00CE7680" w:rsidRPr="001E691E" w:rsidRDefault="00CE7680" w:rsidP="00CE7680">
      <w:pPr>
        <w:pStyle w:val="Prrafodelista"/>
        <w:numPr>
          <w:ilvl w:val="0"/>
          <w:numId w:val="1"/>
        </w:numPr>
        <w:spacing w:line="360" w:lineRule="auto"/>
        <w:rPr>
          <w:sz w:val="24"/>
          <w:szCs w:val="24"/>
          <w:lang w:val="es-ES_tradnl"/>
        </w:rPr>
      </w:pPr>
      <w:r w:rsidRPr="001E691E">
        <w:rPr>
          <w:i/>
          <w:sz w:val="24"/>
          <w:szCs w:val="24"/>
          <w:lang w:val="es-ES_tradnl"/>
        </w:rPr>
        <w:t>Prohibición de regresividad de los derechos sociales.</w:t>
      </w:r>
    </w:p>
    <w:p w:rsidR="001E691E" w:rsidRPr="001E691E" w:rsidRDefault="001E691E" w:rsidP="001E691E">
      <w:pPr>
        <w:pStyle w:val="Prrafodelista"/>
        <w:rPr>
          <w:sz w:val="24"/>
          <w:szCs w:val="24"/>
          <w:lang w:val="es-ES_tradnl"/>
        </w:rPr>
      </w:pPr>
    </w:p>
    <w:p w:rsidR="003B3708" w:rsidRDefault="00B846E3" w:rsidP="00B846E3">
      <w:pPr>
        <w:spacing w:line="360" w:lineRule="auto"/>
        <w:jc w:val="both"/>
        <w:rPr>
          <w:sz w:val="24"/>
          <w:szCs w:val="24"/>
          <w:lang w:val="es-ES_tradnl"/>
        </w:rPr>
      </w:pPr>
      <w:r>
        <w:rPr>
          <w:sz w:val="24"/>
          <w:szCs w:val="24"/>
          <w:lang w:val="es-ES_tradnl"/>
        </w:rPr>
        <w:t>Mucho se comenta respecto de los grandes índices de desigualdad que se dan en nuestro país. Para equiparar de mejor manera las condiciones de vida materiales y espirituales de los chilenos, resulta necesario fortalecer los derechos económicos, sociales y culturales (en adelante “derechos sociales”)</w:t>
      </w:r>
      <w:r w:rsidR="003102EF">
        <w:rPr>
          <w:sz w:val="24"/>
          <w:szCs w:val="24"/>
          <w:lang w:val="es-ES_tradnl"/>
        </w:rPr>
        <w:t>.</w:t>
      </w:r>
      <w:r>
        <w:rPr>
          <w:sz w:val="24"/>
          <w:szCs w:val="24"/>
          <w:lang w:val="es-ES_tradnl"/>
        </w:rPr>
        <w:t xml:space="preserve"> </w:t>
      </w:r>
    </w:p>
    <w:p w:rsidR="003B3708" w:rsidRDefault="00B846E3" w:rsidP="00B846E3">
      <w:pPr>
        <w:spacing w:line="360" w:lineRule="auto"/>
        <w:jc w:val="both"/>
        <w:rPr>
          <w:sz w:val="24"/>
          <w:szCs w:val="24"/>
          <w:lang w:val="es-ES_tradnl"/>
        </w:rPr>
      </w:pPr>
      <w:r>
        <w:rPr>
          <w:sz w:val="24"/>
          <w:szCs w:val="24"/>
          <w:lang w:val="es-ES_tradnl"/>
        </w:rPr>
        <w:t>Ello exige necesariamente fort</w:t>
      </w:r>
      <w:r w:rsidR="006B5920">
        <w:rPr>
          <w:sz w:val="24"/>
          <w:szCs w:val="24"/>
          <w:lang w:val="es-ES_tradnl"/>
        </w:rPr>
        <w:t xml:space="preserve">alecer el accionar del Estado, de lo contrario, </w:t>
      </w:r>
      <w:r w:rsidR="00BB1D86">
        <w:rPr>
          <w:sz w:val="24"/>
          <w:szCs w:val="24"/>
          <w:lang w:val="es-ES_tradnl"/>
        </w:rPr>
        <w:t xml:space="preserve">el “statu quo” </w:t>
      </w:r>
      <w:r w:rsidR="006B5920">
        <w:rPr>
          <w:sz w:val="24"/>
          <w:szCs w:val="24"/>
          <w:lang w:val="es-ES_tradnl"/>
        </w:rPr>
        <w:t>no deb</w:t>
      </w:r>
      <w:r w:rsidR="00BF1465">
        <w:rPr>
          <w:sz w:val="24"/>
          <w:szCs w:val="24"/>
          <w:lang w:val="es-ES_tradnl"/>
        </w:rPr>
        <w:t>e</w:t>
      </w:r>
      <w:r w:rsidR="006B5920">
        <w:rPr>
          <w:sz w:val="24"/>
          <w:szCs w:val="24"/>
          <w:lang w:val="es-ES_tradnl"/>
        </w:rPr>
        <w:t xml:space="preserve"> sufrir modificaciones. </w:t>
      </w:r>
      <w:r w:rsidR="00BB1D86">
        <w:rPr>
          <w:sz w:val="24"/>
          <w:szCs w:val="24"/>
          <w:lang w:val="es-ES_tradnl"/>
        </w:rPr>
        <w:t xml:space="preserve">Al referirse </w:t>
      </w:r>
      <w:r w:rsidR="005A1D9A">
        <w:rPr>
          <w:sz w:val="24"/>
          <w:szCs w:val="24"/>
          <w:lang w:val="es-ES_tradnl"/>
        </w:rPr>
        <w:t xml:space="preserve">a estos derechos Nogueira indica que “en la nueva perspectiva del Estado Social, se asume la necesidad de brindar a la población un mínimo básico de bienestar que se compromete a entregar el Estado a </w:t>
      </w:r>
      <w:r w:rsidR="005A1D9A">
        <w:rPr>
          <w:sz w:val="24"/>
          <w:szCs w:val="24"/>
          <w:lang w:val="es-ES_tradnl"/>
        </w:rPr>
        <w:lastRenderedPageBreak/>
        <w:t>través de prestaciones positivas de hacer respecto de las personas en salud, educación, condiciones laborales, seguridad social, vivienda, entre otras materias”</w:t>
      </w:r>
      <w:r w:rsidR="005A1D9A">
        <w:rPr>
          <w:rStyle w:val="Refdenotaalpie"/>
          <w:sz w:val="24"/>
          <w:szCs w:val="24"/>
          <w:lang w:val="es-ES_tradnl"/>
        </w:rPr>
        <w:footnoteReference w:id="8"/>
      </w:r>
      <w:r w:rsidR="005A1D9A">
        <w:rPr>
          <w:sz w:val="24"/>
          <w:szCs w:val="24"/>
          <w:lang w:val="es-ES_tradnl"/>
        </w:rPr>
        <w:t>.</w:t>
      </w:r>
    </w:p>
    <w:p w:rsidR="00844661" w:rsidRPr="00D128F1" w:rsidRDefault="003102EF" w:rsidP="00B846E3">
      <w:pPr>
        <w:spacing w:line="360" w:lineRule="auto"/>
        <w:jc w:val="both"/>
        <w:rPr>
          <w:sz w:val="24"/>
          <w:szCs w:val="24"/>
          <w:lang w:val="es-ES_tradnl"/>
        </w:rPr>
      </w:pPr>
      <w:r>
        <w:rPr>
          <w:sz w:val="24"/>
          <w:szCs w:val="24"/>
          <w:lang w:val="es-ES_tradnl"/>
        </w:rPr>
        <w:t>En el DIDH</w:t>
      </w:r>
      <w:r w:rsidR="00ED0EDF">
        <w:rPr>
          <w:sz w:val="24"/>
          <w:szCs w:val="24"/>
          <w:lang w:val="es-ES_tradnl"/>
        </w:rPr>
        <w:t xml:space="preserve">, su tratamiento </w:t>
      </w:r>
      <w:r>
        <w:rPr>
          <w:sz w:val="24"/>
          <w:szCs w:val="24"/>
          <w:lang w:val="es-ES_tradnl"/>
        </w:rPr>
        <w:t xml:space="preserve">en comparación con los derechos civiles y políticos </w:t>
      </w:r>
      <w:r w:rsidR="0093206A">
        <w:rPr>
          <w:sz w:val="24"/>
          <w:szCs w:val="24"/>
          <w:lang w:val="es-ES_tradnl"/>
        </w:rPr>
        <w:t xml:space="preserve">difiere en cuanto </w:t>
      </w:r>
      <w:r w:rsidR="0093206A" w:rsidRPr="003102EF">
        <w:rPr>
          <w:sz w:val="24"/>
          <w:szCs w:val="24"/>
          <w:lang w:val="es-ES_tradnl"/>
        </w:rPr>
        <w:t>a</w:t>
      </w:r>
      <w:r w:rsidR="00D128F1" w:rsidRPr="003102EF">
        <w:rPr>
          <w:sz w:val="24"/>
          <w:szCs w:val="24"/>
          <w:lang w:val="es-ES_tradnl"/>
        </w:rPr>
        <w:t>l carácter temporal de</w:t>
      </w:r>
      <w:r w:rsidR="0093206A" w:rsidRPr="003102EF">
        <w:rPr>
          <w:sz w:val="24"/>
          <w:szCs w:val="24"/>
          <w:lang w:val="es-ES_tradnl"/>
        </w:rPr>
        <w:t xml:space="preserve"> las obligaciones que asume el Estado parte</w:t>
      </w:r>
      <w:r w:rsidR="00A7560F" w:rsidRPr="00D128F1">
        <w:rPr>
          <w:i/>
          <w:sz w:val="24"/>
          <w:szCs w:val="24"/>
          <w:lang w:val="es-ES_tradnl"/>
        </w:rPr>
        <w:t xml:space="preserve"> </w:t>
      </w:r>
      <w:r w:rsidR="00A7560F" w:rsidRPr="00D128F1">
        <w:rPr>
          <w:sz w:val="24"/>
          <w:szCs w:val="24"/>
          <w:lang w:val="es-ES_tradnl"/>
        </w:rPr>
        <w:t xml:space="preserve">con respecto a cada </w:t>
      </w:r>
      <w:r w:rsidR="00844661" w:rsidRPr="00D128F1">
        <w:rPr>
          <w:sz w:val="24"/>
          <w:szCs w:val="24"/>
          <w:lang w:val="es-ES_tradnl"/>
        </w:rPr>
        <w:t>categoría de</w:t>
      </w:r>
      <w:r w:rsidR="00A7560F" w:rsidRPr="00D128F1">
        <w:rPr>
          <w:sz w:val="24"/>
          <w:szCs w:val="24"/>
          <w:lang w:val="es-ES_tradnl"/>
        </w:rPr>
        <w:t xml:space="preserve"> ellos</w:t>
      </w:r>
      <w:r w:rsidR="00ED0EDF" w:rsidRPr="00D128F1">
        <w:rPr>
          <w:sz w:val="24"/>
          <w:szCs w:val="24"/>
          <w:lang w:val="es-ES_tradnl"/>
        </w:rPr>
        <w:t xml:space="preserve">. </w:t>
      </w:r>
    </w:p>
    <w:p w:rsidR="00ED0EDF" w:rsidRDefault="00ED0EDF" w:rsidP="00B846E3">
      <w:pPr>
        <w:spacing w:line="360" w:lineRule="auto"/>
        <w:jc w:val="both"/>
        <w:rPr>
          <w:sz w:val="24"/>
          <w:szCs w:val="24"/>
          <w:lang w:val="es-ES_tradnl"/>
        </w:rPr>
      </w:pPr>
      <w:r>
        <w:rPr>
          <w:sz w:val="24"/>
          <w:szCs w:val="24"/>
          <w:lang w:val="es-ES_tradnl"/>
        </w:rPr>
        <w:t>E</w:t>
      </w:r>
      <w:r w:rsidR="00844661">
        <w:rPr>
          <w:sz w:val="24"/>
          <w:szCs w:val="24"/>
          <w:lang w:val="es-ES_tradnl"/>
        </w:rPr>
        <w:t>st</w:t>
      </w:r>
      <w:r>
        <w:rPr>
          <w:sz w:val="24"/>
          <w:szCs w:val="24"/>
          <w:lang w:val="es-ES_tradnl"/>
        </w:rPr>
        <w:t xml:space="preserve">o </w:t>
      </w:r>
      <w:r w:rsidR="00844661">
        <w:rPr>
          <w:sz w:val="24"/>
          <w:szCs w:val="24"/>
          <w:lang w:val="es-ES_tradnl"/>
        </w:rPr>
        <w:t>se comprueba</w:t>
      </w:r>
      <w:r>
        <w:rPr>
          <w:sz w:val="24"/>
          <w:szCs w:val="24"/>
          <w:lang w:val="es-ES_tradnl"/>
        </w:rPr>
        <w:t xml:space="preserve"> al revisar dos principales tratados internacionales del sistema de protección de los derechos humanos de las Naciones Unidas. </w:t>
      </w:r>
      <w:r w:rsidR="00437A60">
        <w:rPr>
          <w:sz w:val="24"/>
          <w:szCs w:val="24"/>
          <w:lang w:val="es-ES_tradnl"/>
        </w:rPr>
        <w:t>Por una parte, en el artículo 2 numeral 1</w:t>
      </w:r>
      <w:r w:rsidR="009029D0">
        <w:rPr>
          <w:rStyle w:val="Refdenotaalpie"/>
          <w:sz w:val="24"/>
          <w:szCs w:val="24"/>
          <w:lang w:val="es-ES_tradnl"/>
        </w:rPr>
        <w:footnoteReference w:id="9"/>
      </w:r>
      <w:r w:rsidR="00437A60">
        <w:rPr>
          <w:sz w:val="24"/>
          <w:szCs w:val="24"/>
          <w:lang w:val="es-ES_tradnl"/>
        </w:rPr>
        <w:t xml:space="preserve"> del Pacto Internacional de Derechos Económicos, Sociales y Culturales, se consagra el principio de progresividad de los derechos sociales, que atendida su naturaleza, </w:t>
      </w:r>
      <w:r w:rsidR="00437A60" w:rsidRPr="003102EF">
        <w:rPr>
          <w:sz w:val="24"/>
          <w:szCs w:val="24"/>
          <w:lang w:val="es-ES_tradnl"/>
        </w:rPr>
        <w:t>implica la gradualidad en su implementación y desarrollo,</w:t>
      </w:r>
      <w:r w:rsidR="00437A60">
        <w:rPr>
          <w:sz w:val="24"/>
          <w:szCs w:val="24"/>
          <w:lang w:val="es-ES_tradnl"/>
        </w:rPr>
        <w:t xml:space="preserve"> para que sus titulares puedan gozar de ellos y acercarse paulatinamente a su pleno ejercicio, lo que exige interpretarlos como un mandato de realización de medidas destinadas a concretarlos efectivamente</w:t>
      </w:r>
      <w:r w:rsidR="00437A60">
        <w:rPr>
          <w:rStyle w:val="Refdenotaalpie"/>
          <w:sz w:val="24"/>
          <w:szCs w:val="24"/>
          <w:lang w:val="es-ES_tradnl"/>
        </w:rPr>
        <w:footnoteReference w:id="10"/>
      </w:r>
      <w:r w:rsidR="00437A60">
        <w:rPr>
          <w:sz w:val="24"/>
          <w:szCs w:val="24"/>
          <w:lang w:val="es-ES_tradnl"/>
        </w:rPr>
        <w:t>. En cambio</w:t>
      </w:r>
      <w:r>
        <w:rPr>
          <w:sz w:val="24"/>
          <w:szCs w:val="24"/>
          <w:lang w:val="es-ES_tradnl"/>
        </w:rPr>
        <w:t xml:space="preserve">, </w:t>
      </w:r>
      <w:r w:rsidR="0093206A">
        <w:rPr>
          <w:sz w:val="24"/>
          <w:szCs w:val="24"/>
          <w:lang w:val="es-ES_tradnl"/>
        </w:rPr>
        <w:t>con ocasión del artículo 2 numeral 1 del Pacto Internacional de Derechos Civiles y Políticos</w:t>
      </w:r>
      <w:r w:rsidR="00A7560F">
        <w:rPr>
          <w:sz w:val="24"/>
          <w:szCs w:val="24"/>
          <w:lang w:val="es-ES_tradnl"/>
        </w:rPr>
        <w:t xml:space="preserve">, los Estados Partes se comprometen </w:t>
      </w:r>
      <w:r w:rsidR="00A7560F" w:rsidRPr="003102EF">
        <w:rPr>
          <w:sz w:val="24"/>
          <w:szCs w:val="24"/>
          <w:lang w:val="es-ES_tradnl"/>
        </w:rPr>
        <w:t>de forma inmediata</w:t>
      </w:r>
      <w:r w:rsidR="00A7560F">
        <w:rPr>
          <w:sz w:val="24"/>
          <w:szCs w:val="24"/>
          <w:lang w:val="es-ES_tradnl"/>
        </w:rPr>
        <w:t xml:space="preserve"> a garantizar a todos los individuos que se encuentren en su territorio y estén sujetos a su jurisdicción, los derechos reconocidos en dicho Pacto. </w:t>
      </w:r>
    </w:p>
    <w:p w:rsidR="00F12979" w:rsidRDefault="00557671" w:rsidP="00F12979">
      <w:pPr>
        <w:spacing w:line="360" w:lineRule="auto"/>
        <w:jc w:val="both"/>
        <w:rPr>
          <w:sz w:val="24"/>
          <w:szCs w:val="24"/>
          <w:lang w:val="es-ES_tradnl"/>
        </w:rPr>
      </w:pPr>
      <w:r>
        <w:rPr>
          <w:sz w:val="24"/>
          <w:szCs w:val="24"/>
          <w:lang w:val="es-ES_tradnl"/>
        </w:rPr>
        <w:t>Ahora bien, como contrapartida a la obligación de progresividad</w:t>
      </w:r>
      <w:r w:rsidR="00F12979">
        <w:rPr>
          <w:sz w:val="24"/>
          <w:szCs w:val="24"/>
          <w:lang w:val="es-ES_tradnl"/>
        </w:rPr>
        <w:t xml:space="preserve"> en los derechos sociales</w:t>
      </w:r>
      <w:r>
        <w:rPr>
          <w:sz w:val="24"/>
          <w:szCs w:val="24"/>
          <w:lang w:val="es-ES_tradnl"/>
        </w:rPr>
        <w:t xml:space="preserve">, se encuentra la prohibición de regresividad, es decir, la obligación de no regresividad en la adopción de políticas y medidas </w:t>
      </w:r>
      <w:r w:rsidR="00F12979">
        <w:rPr>
          <w:sz w:val="24"/>
          <w:szCs w:val="24"/>
          <w:lang w:val="es-ES_tradnl"/>
        </w:rPr>
        <w:t>que implementan los Estados para la efectiva aplicación de los derechos reconocidos, constituye la obligación mínima asumida por todo Estado.</w:t>
      </w:r>
    </w:p>
    <w:p w:rsidR="00F12979" w:rsidRDefault="00F12979" w:rsidP="00F12979">
      <w:pPr>
        <w:spacing w:line="360" w:lineRule="auto"/>
        <w:jc w:val="both"/>
        <w:rPr>
          <w:sz w:val="24"/>
          <w:szCs w:val="24"/>
          <w:lang w:val="es-ES_tradnl"/>
        </w:rPr>
      </w:pPr>
      <w:r>
        <w:rPr>
          <w:sz w:val="24"/>
          <w:szCs w:val="24"/>
          <w:lang w:val="es-ES_tradnl"/>
        </w:rPr>
        <w:t>Como recuerda</w:t>
      </w:r>
      <w:r w:rsidR="00082040">
        <w:rPr>
          <w:sz w:val="24"/>
          <w:szCs w:val="24"/>
          <w:lang w:val="es-ES_tradnl"/>
        </w:rPr>
        <w:t>n Abramovich y Courtis</w:t>
      </w:r>
      <w:r w:rsidR="00082040">
        <w:rPr>
          <w:rStyle w:val="Refdenotaalpie"/>
          <w:sz w:val="24"/>
          <w:szCs w:val="24"/>
          <w:lang w:val="es-ES_tradnl"/>
        </w:rPr>
        <w:footnoteReference w:id="11"/>
      </w:r>
      <w:r w:rsidR="00082040">
        <w:rPr>
          <w:sz w:val="24"/>
          <w:szCs w:val="24"/>
          <w:lang w:val="es-ES_tradnl"/>
        </w:rPr>
        <w:t xml:space="preserve"> con motivo de</w:t>
      </w:r>
      <w:r>
        <w:rPr>
          <w:sz w:val="24"/>
          <w:szCs w:val="24"/>
          <w:lang w:val="es-ES_tradnl"/>
        </w:rPr>
        <w:t xml:space="preserve"> los principios de Maastricht, </w:t>
      </w:r>
      <w:r w:rsidR="00082040">
        <w:rPr>
          <w:sz w:val="24"/>
          <w:szCs w:val="24"/>
          <w:lang w:val="es-ES_tradnl"/>
        </w:rPr>
        <w:t xml:space="preserve">en ellos </w:t>
      </w:r>
      <w:r>
        <w:rPr>
          <w:sz w:val="24"/>
          <w:szCs w:val="24"/>
          <w:lang w:val="es-ES_tradnl"/>
        </w:rPr>
        <w:t xml:space="preserve">se distingue entre las violaciones de los derechos por acción y las violaciones de </w:t>
      </w:r>
      <w:r>
        <w:rPr>
          <w:sz w:val="24"/>
          <w:szCs w:val="24"/>
          <w:lang w:val="es-ES_tradnl"/>
        </w:rPr>
        <w:lastRenderedPageBreak/>
        <w:t>los derechos por omisión. Entre las violaciones</w:t>
      </w:r>
      <w:r w:rsidR="00082040">
        <w:rPr>
          <w:sz w:val="24"/>
          <w:szCs w:val="24"/>
          <w:lang w:val="es-ES_tradnl"/>
        </w:rPr>
        <w:t xml:space="preserve"> por acción de los Estados, de acuerdo con el principio 14, se encuentran la adopción de políticas manifiestamente</w:t>
      </w:r>
      <w:r w:rsidR="003E1D14">
        <w:rPr>
          <w:sz w:val="24"/>
          <w:szCs w:val="24"/>
          <w:lang w:val="es-ES_tradnl"/>
        </w:rPr>
        <w:t xml:space="preserve"> incompatibles con obligaciones legales preexistentes relativas a esos derechos y la adopción de cualquier medida deliberadamente regresiva que reduzca el alcance en el que se garantiza el derecho.</w:t>
      </w:r>
      <w:r w:rsidR="00C55E0C">
        <w:rPr>
          <w:sz w:val="24"/>
          <w:szCs w:val="24"/>
          <w:lang w:val="es-ES_tradnl"/>
        </w:rPr>
        <w:t xml:space="preserve"> Por su parte, entre las violaciones por omisión, de acuerdo con el principio 15, la no consecución de estándares mínimos internacionales de cumplimiento generalmente aceptados, cuya consecución está dentro de las posibilidades del Estado.</w:t>
      </w:r>
      <w:r w:rsidR="003E1D14">
        <w:rPr>
          <w:sz w:val="24"/>
          <w:szCs w:val="24"/>
          <w:lang w:val="es-ES_tradnl"/>
        </w:rPr>
        <w:t xml:space="preserve"> </w:t>
      </w:r>
    </w:p>
    <w:p w:rsidR="009E4AA7" w:rsidRPr="009E4AA7" w:rsidRDefault="009E4AA7" w:rsidP="009E4AA7">
      <w:pPr>
        <w:autoSpaceDE w:val="0"/>
        <w:autoSpaceDN w:val="0"/>
        <w:adjustRightInd w:val="0"/>
        <w:spacing w:after="0" w:line="360" w:lineRule="auto"/>
        <w:jc w:val="both"/>
        <w:rPr>
          <w:rFonts w:cs="Times-Roman"/>
          <w:sz w:val="24"/>
          <w:szCs w:val="24"/>
        </w:rPr>
      </w:pPr>
      <w:r w:rsidRPr="009E4AA7">
        <w:rPr>
          <w:rFonts w:cs="Times-Roman"/>
          <w:sz w:val="24"/>
          <w:szCs w:val="24"/>
        </w:rPr>
        <w:t>A este respecto, el Comité de Derechos Económicos</w:t>
      </w:r>
      <w:r w:rsidR="003102EF">
        <w:rPr>
          <w:rFonts w:cs="Times-Roman"/>
          <w:sz w:val="24"/>
          <w:szCs w:val="24"/>
        </w:rPr>
        <w:t>,</w:t>
      </w:r>
      <w:r w:rsidRPr="009E4AA7">
        <w:rPr>
          <w:rFonts w:cs="Times-Roman"/>
          <w:sz w:val="24"/>
          <w:szCs w:val="24"/>
        </w:rPr>
        <w:t xml:space="preserve"> Sociales y Culturales, encargados </w:t>
      </w:r>
      <w:r>
        <w:rPr>
          <w:rFonts w:cs="Times-Roman"/>
          <w:sz w:val="24"/>
          <w:szCs w:val="24"/>
        </w:rPr>
        <w:t>d</w:t>
      </w:r>
      <w:r w:rsidRPr="009E4AA7">
        <w:rPr>
          <w:rFonts w:cs="Times-Roman"/>
          <w:sz w:val="24"/>
          <w:szCs w:val="24"/>
        </w:rPr>
        <w:t>e la supervisión del Pacto, ya en 1990 en su Observaci</w:t>
      </w:r>
      <w:r>
        <w:rPr>
          <w:rFonts w:cs="Times-Roman"/>
          <w:sz w:val="24"/>
          <w:szCs w:val="24"/>
        </w:rPr>
        <w:t>ó</w:t>
      </w:r>
      <w:r w:rsidRPr="009E4AA7">
        <w:rPr>
          <w:rFonts w:cs="Times-Roman"/>
          <w:sz w:val="24"/>
          <w:szCs w:val="24"/>
        </w:rPr>
        <w:t>n General Nº3</w:t>
      </w:r>
      <w:r w:rsidRPr="009E4AA7">
        <w:rPr>
          <w:rStyle w:val="Refdenotaalpie"/>
          <w:rFonts w:cs="Times-Roman"/>
          <w:sz w:val="24"/>
          <w:szCs w:val="24"/>
        </w:rPr>
        <w:footnoteReference w:id="12"/>
      </w:r>
      <w:r w:rsidRPr="009E4AA7">
        <w:rPr>
          <w:rFonts w:cs="Times-Roman"/>
          <w:sz w:val="24"/>
          <w:szCs w:val="24"/>
        </w:rPr>
        <w:t xml:space="preserve">, </w:t>
      </w:r>
      <w:r w:rsidR="006B14A3">
        <w:rPr>
          <w:rFonts w:cs="Times-Roman"/>
          <w:sz w:val="24"/>
          <w:szCs w:val="24"/>
        </w:rPr>
        <w:t>reafirma</w:t>
      </w:r>
      <w:r w:rsidRPr="009E4AA7">
        <w:rPr>
          <w:rFonts w:cs="Times-Roman"/>
          <w:sz w:val="24"/>
          <w:szCs w:val="24"/>
        </w:rPr>
        <w:t xml:space="preserve"> que los derechos reconocidos en él pueden hacerse efectivos en el contexto de una amplia variedad de sistemas económicos y políticos –sistema socialista o capitalista, o de una</w:t>
      </w:r>
    </w:p>
    <w:p w:rsidR="009653D1" w:rsidRDefault="009E4AA7" w:rsidP="00C50A73">
      <w:pPr>
        <w:autoSpaceDE w:val="0"/>
        <w:autoSpaceDN w:val="0"/>
        <w:adjustRightInd w:val="0"/>
        <w:spacing w:after="0" w:line="360" w:lineRule="auto"/>
        <w:jc w:val="both"/>
        <w:rPr>
          <w:rFonts w:cs="Times-Roman"/>
          <w:sz w:val="24"/>
          <w:szCs w:val="24"/>
        </w:rPr>
      </w:pPr>
      <w:r w:rsidRPr="009E4AA7">
        <w:rPr>
          <w:rFonts w:cs="Times-Roman"/>
          <w:sz w:val="24"/>
          <w:szCs w:val="24"/>
        </w:rPr>
        <w:t>economía mixta, de planificación centralizada o basada en el laisser-faire–, a condición únicamente de que la interdependencia e indivisibilidad de los dos conjuntos de derechos humanos –</w:t>
      </w:r>
      <w:r w:rsidR="003102EF">
        <w:rPr>
          <w:rFonts w:cs="Times-Roman"/>
          <w:sz w:val="24"/>
          <w:szCs w:val="24"/>
        </w:rPr>
        <w:t>derechos civiles y políticos y derechos sociales</w:t>
      </w:r>
      <w:r w:rsidRPr="009E4AA7">
        <w:rPr>
          <w:rFonts w:cs="Times-Roman"/>
          <w:sz w:val="24"/>
          <w:szCs w:val="24"/>
        </w:rPr>
        <w:t xml:space="preserve">–, se reconozcan y queden reflejados en el sistema de que se trata. </w:t>
      </w:r>
    </w:p>
    <w:p w:rsidR="009653D1" w:rsidRDefault="006B14A3" w:rsidP="00C50A73">
      <w:pPr>
        <w:autoSpaceDE w:val="0"/>
        <w:autoSpaceDN w:val="0"/>
        <w:adjustRightInd w:val="0"/>
        <w:spacing w:after="0" w:line="360" w:lineRule="auto"/>
        <w:jc w:val="both"/>
        <w:rPr>
          <w:rFonts w:cs="Times-Roman"/>
          <w:sz w:val="24"/>
          <w:szCs w:val="24"/>
        </w:rPr>
      </w:pPr>
      <w:r>
        <w:rPr>
          <w:rFonts w:cs="Times-Roman"/>
          <w:sz w:val="24"/>
          <w:szCs w:val="24"/>
        </w:rPr>
        <w:t>Más recientemente, con ocasión de su misión en la Organización Mundial del Comercio</w:t>
      </w:r>
      <w:r w:rsidR="00C50A73">
        <w:rPr>
          <w:rFonts w:cs="Times-Roman"/>
          <w:sz w:val="24"/>
          <w:szCs w:val="24"/>
        </w:rPr>
        <w:t xml:space="preserve"> </w:t>
      </w:r>
      <w:r w:rsidR="00341BE8">
        <w:rPr>
          <w:rFonts w:cs="Times-Roman"/>
          <w:sz w:val="24"/>
          <w:szCs w:val="24"/>
        </w:rPr>
        <w:t xml:space="preserve">(OMC) </w:t>
      </w:r>
      <w:r>
        <w:rPr>
          <w:rFonts w:cs="Times-Roman"/>
          <w:sz w:val="24"/>
          <w:szCs w:val="24"/>
        </w:rPr>
        <w:t xml:space="preserve">para analizar las cruciales intersecciones entre el comercio y la salud pública, el Relator </w:t>
      </w:r>
      <w:r w:rsidR="00C50A73">
        <w:rPr>
          <w:rFonts w:cs="Times-Roman"/>
          <w:sz w:val="24"/>
          <w:szCs w:val="24"/>
        </w:rPr>
        <w:t>Especial de las Naciones Unidas sobre el derecho de toda persona al disfrute del más alto nivel posible de salud física y mental</w:t>
      </w:r>
      <w:r w:rsidR="009653D1">
        <w:rPr>
          <w:rFonts w:cs="Times-Roman"/>
          <w:sz w:val="24"/>
          <w:szCs w:val="24"/>
        </w:rPr>
        <w:t xml:space="preserve">, confirmó que el DIDH no adopta posición ni a favor ni en contra de </w:t>
      </w:r>
      <w:r w:rsidR="00CE0374">
        <w:rPr>
          <w:rFonts w:cs="Times-Roman"/>
          <w:sz w:val="24"/>
          <w:szCs w:val="24"/>
        </w:rPr>
        <w:t>una determinada</w:t>
      </w:r>
      <w:r w:rsidR="009653D1">
        <w:rPr>
          <w:rFonts w:cs="Times-Roman"/>
          <w:sz w:val="24"/>
          <w:szCs w:val="24"/>
        </w:rPr>
        <w:t xml:space="preserve"> política o regla de comercio, pero si exige las siguientes medidas</w:t>
      </w:r>
      <w:r w:rsidR="00CE0374">
        <w:rPr>
          <w:rStyle w:val="Refdenotaalpie"/>
          <w:rFonts w:cs="Times-Roman"/>
          <w:sz w:val="24"/>
          <w:szCs w:val="24"/>
        </w:rPr>
        <w:footnoteReference w:id="13"/>
      </w:r>
      <w:r w:rsidR="009653D1">
        <w:rPr>
          <w:rFonts w:cs="Times-Roman"/>
          <w:sz w:val="24"/>
          <w:szCs w:val="24"/>
        </w:rPr>
        <w:t xml:space="preserve">: </w:t>
      </w:r>
    </w:p>
    <w:p w:rsidR="00C42A99" w:rsidRDefault="00C42A99" w:rsidP="00C50A73">
      <w:pPr>
        <w:autoSpaceDE w:val="0"/>
        <w:autoSpaceDN w:val="0"/>
        <w:adjustRightInd w:val="0"/>
        <w:spacing w:after="0" w:line="360" w:lineRule="auto"/>
        <w:jc w:val="both"/>
        <w:rPr>
          <w:rFonts w:cs="Times-Roman"/>
          <w:sz w:val="24"/>
          <w:szCs w:val="24"/>
        </w:rPr>
      </w:pPr>
    </w:p>
    <w:p w:rsidR="009E4AA7" w:rsidRDefault="009653D1" w:rsidP="009E4AA7">
      <w:pPr>
        <w:pStyle w:val="Prrafodelista"/>
        <w:numPr>
          <w:ilvl w:val="0"/>
          <w:numId w:val="2"/>
        </w:numPr>
        <w:autoSpaceDE w:val="0"/>
        <w:autoSpaceDN w:val="0"/>
        <w:adjustRightInd w:val="0"/>
        <w:spacing w:after="0" w:line="360" w:lineRule="auto"/>
        <w:jc w:val="both"/>
        <w:rPr>
          <w:rFonts w:cs="Times-Roman"/>
          <w:sz w:val="24"/>
          <w:szCs w:val="24"/>
        </w:rPr>
      </w:pPr>
      <w:r w:rsidRPr="00CE0374">
        <w:rPr>
          <w:rFonts w:cs="Times-Roman"/>
          <w:sz w:val="24"/>
          <w:szCs w:val="24"/>
        </w:rPr>
        <w:t xml:space="preserve">El DIDH requiere evidencia confiable de que aquella política o regla </w:t>
      </w:r>
      <w:r w:rsidR="00CE0374">
        <w:rPr>
          <w:rFonts w:cs="Times-Roman"/>
          <w:sz w:val="24"/>
          <w:szCs w:val="24"/>
        </w:rPr>
        <w:t xml:space="preserve">comercial </w:t>
      </w:r>
      <w:r w:rsidRPr="00CE0374">
        <w:rPr>
          <w:rFonts w:cs="Times-Roman"/>
          <w:sz w:val="24"/>
          <w:szCs w:val="24"/>
        </w:rPr>
        <w:t xml:space="preserve">seleccionada se encuentre proporcionando resultados positivos </w:t>
      </w:r>
      <w:r w:rsidR="00CE0374" w:rsidRPr="00CE0374">
        <w:rPr>
          <w:rFonts w:cs="Times-Roman"/>
          <w:sz w:val="24"/>
          <w:szCs w:val="24"/>
        </w:rPr>
        <w:t xml:space="preserve">en relación con el ejercicio del derecho a la salud, incluidos </w:t>
      </w:r>
      <w:r w:rsidR="00CE0374">
        <w:rPr>
          <w:rFonts w:cs="Times-Roman"/>
          <w:sz w:val="24"/>
          <w:szCs w:val="24"/>
        </w:rPr>
        <w:t xml:space="preserve">las poblaciones </w:t>
      </w:r>
      <w:r w:rsidR="00CE0374" w:rsidRPr="00CE0374">
        <w:rPr>
          <w:rFonts w:cs="Times-Roman"/>
          <w:sz w:val="24"/>
          <w:szCs w:val="24"/>
        </w:rPr>
        <w:t>más vulnerables</w:t>
      </w:r>
      <w:r w:rsidR="00CE0374">
        <w:rPr>
          <w:rFonts w:cs="Times-Roman"/>
          <w:sz w:val="24"/>
          <w:szCs w:val="24"/>
        </w:rPr>
        <w:t>; y</w:t>
      </w:r>
    </w:p>
    <w:p w:rsidR="00CE0374" w:rsidRPr="0047373D" w:rsidRDefault="00CE0374" w:rsidP="009E4AA7">
      <w:pPr>
        <w:pStyle w:val="Prrafodelista"/>
        <w:numPr>
          <w:ilvl w:val="0"/>
          <w:numId w:val="2"/>
        </w:numPr>
        <w:autoSpaceDE w:val="0"/>
        <w:autoSpaceDN w:val="0"/>
        <w:adjustRightInd w:val="0"/>
        <w:spacing w:after="0" w:line="360" w:lineRule="auto"/>
        <w:jc w:val="both"/>
        <w:rPr>
          <w:rStyle w:val="hps"/>
          <w:rFonts w:cs="Times-Roman"/>
          <w:sz w:val="24"/>
          <w:szCs w:val="24"/>
        </w:rPr>
      </w:pPr>
      <w:r>
        <w:rPr>
          <w:rFonts w:cs="Times-Roman"/>
          <w:sz w:val="24"/>
          <w:szCs w:val="24"/>
        </w:rPr>
        <w:t xml:space="preserve">Si una política comercial se encuentra en fase de planificación, el DIDH </w:t>
      </w:r>
      <w:r w:rsidR="0047373D">
        <w:rPr>
          <w:rFonts w:cs="Times-Roman"/>
          <w:sz w:val="24"/>
          <w:szCs w:val="24"/>
        </w:rPr>
        <w:t xml:space="preserve">requiere que sean sometidas a evaluaciones confiables para anticipar el probable </w:t>
      </w:r>
      <w:r w:rsidR="0047373D">
        <w:rPr>
          <w:rFonts w:cs="Times-Roman"/>
          <w:sz w:val="24"/>
          <w:szCs w:val="24"/>
        </w:rPr>
        <w:lastRenderedPageBreak/>
        <w:t xml:space="preserve">impacto de la política en el disfrute </w:t>
      </w:r>
      <w:r w:rsidR="00883413" w:rsidRPr="00883413">
        <w:rPr>
          <w:rStyle w:val="hps"/>
          <w:rFonts w:cs="Arial"/>
          <w:color w:val="222222"/>
          <w:sz w:val="24"/>
          <w:szCs w:val="24"/>
        </w:rPr>
        <w:t>del derecho a la</w:t>
      </w:r>
      <w:r w:rsidR="00883413" w:rsidRPr="00883413">
        <w:rPr>
          <w:rFonts w:cs="Arial"/>
          <w:color w:val="222222"/>
          <w:sz w:val="24"/>
          <w:szCs w:val="24"/>
        </w:rPr>
        <w:t xml:space="preserve"> </w:t>
      </w:r>
      <w:r w:rsidR="00883413" w:rsidRPr="00883413">
        <w:rPr>
          <w:rStyle w:val="hps"/>
          <w:rFonts w:cs="Arial"/>
          <w:color w:val="222222"/>
          <w:sz w:val="24"/>
          <w:szCs w:val="24"/>
        </w:rPr>
        <w:t>salud de quienes viven</w:t>
      </w:r>
      <w:r w:rsidR="00883413" w:rsidRPr="00883413">
        <w:rPr>
          <w:rFonts w:cs="Arial"/>
          <w:color w:val="222222"/>
          <w:sz w:val="24"/>
          <w:szCs w:val="24"/>
        </w:rPr>
        <w:t xml:space="preserve"> </w:t>
      </w:r>
      <w:r w:rsidR="00883413" w:rsidRPr="00883413">
        <w:rPr>
          <w:rStyle w:val="hps"/>
          <w:rFonts w:cs="Arial"/>
          <w:color w:val="222222"/>
          <w:sz w:val="24"/>
          <w:szCs w:val="24"/>
        </w:rPr>
        <w:t>en la pobreza</w:t>
      </w:r>
      <w:r w:rsidR="0047373D">
        <w:rPr>
          <w:rStyle w:val="hps"/>
          <w:rFonts w:cs="Arial"/>
          <w:color w:val="222222"/>
          <w:sz w:val="24"/>
          <w:szCs w:val="24"/>
        </w:rPr>
        <w:t xml:space="preserve"> y otros grupos vulnerables.</w:t>
      </w:r>
    </w:p>
    <w:p w:rsidR="0047373D" w:rsidRDefault="0047373D" w:rsidP="0047373D">
      <w:pPr>
        <w:autoSpaceDE w:val="0"/>
        <w:autoSpaceDN w:val="0"/>
        <w:adjustRightInd w:val="0"/>
        <w:spacing w:after="0" w:line="360" w:lineRule="auto"/>
        <w:ind w:left="360"/>
        <w:jc w:val="both"/>
        <w:rPr>
          <w:rFonts w:cs="Times-Roman"/>
          <w:sz w:val="24"/>
          <w:szCs w:val="24"/>
        </w:rPr>
      </w:pPr>
    </w:p>
    <w:p w:rsidR="0047373D" w:rsidRPr="0047373D" w:rsidRDefault="0047373D" w:rsidP="005C22DD">
      <w:pPr>
        <w:autoSpaceDE w:val="0"/>
        <w:autoSpaceDN w:val="0"/>
        <w:adjustRightInd w:val="0"/>
        <w:spacing w:after="0" w:line="360" w:lineRule="auto"/>
        <w:jc w:val="both"/>
        <w:rPr>
          <w:rFonts w:cs="Times-Roman"/>
          <w:sz w:val="24"/>
          <w:szCs w:val="24"/>
        </w:rPr>
      </w:pPr>
      <w:r>
        <w:rPr>
          <w:rFonts w:cs="Times-Roman"/>
          <w:sz w:val="24"/>
          <w:szCs w:val="24"/>
        </w:rPr>
        <w:t xml:space="preserve">De tal manera, en nuestro concepto, la adopción </w:t>
      </w:r>
      <w:r w:rsidR="008F0796">
        <w:rPr>
          <w:rFonts w:cs="Times-Roman"/>
          <w:sz w:val="24"/>
          <w:szCs w:val="24"/>
        </w:rPr>
        <w:t xml:space="preserve">por Chile </w:t>
      </w:r>
      <w:r>
        <w:rPr>
          <w:rFonts w:cs="Times-Roman"/>
          <w:sz w:val="24"/>
          <w:szCs w:val="24"/>
        </w:rPr>
        <w:t>de políticas públicas racionales y rigurosas a nivel nacional e internacional</w:t>
      </w:r>
      <w:r w:rsidR="008F0796">
        <w:rPr>
          <w:rFonts w:cs="Times-Roman"/>
          <w:sz w:val="24"/>
          <w:szCs w:val="24"/>
        </w:rPr>
        <w:t xml:space="preserve"> </w:t>
      </w:r>
      <w:r>
        <w:rPr>
          <w:rFonts w:cs="Times-Roman"/>
          <w:sz w:val="24"/>
          <w:szCs w:val="24"/>
        </w:rPr>
        <w:t>–</w:t>
      </w:r>
      <w:r w:rsidR="000879E5">
        <w:rPr>
          <w:rFonts w:cs="Times-Roman"/>
          <w:sz w:val="24"/>
          <w:szCs w:val="24"/>
        </w:rPr>
        <w:t>sometidas a evaluaciones</w:t>
      </w:r>
      <w:r>
        <w:rPr>
          <w:rFonts w:cs="Times-Roman"/>
          <w:sz w:val="24"/>
          <w:szCs w:val="24"/>
        </w:rPr>
        <w:t xml:space="preserve"> </w:t>
      </w:r>
      <w:r w:rsidR="000879E5">
        <w:rPr>
          <w:rFonts w:cs="Times-Roman"/>
          <w:sz w:val="24"/>
          <w:szCs w:val="24"/>
        </w:rPr>
        <w:t xml:space="preserve">previas que informen </w:t>
      </w:r>
      <w:r w:rsidR="008F0796">
        <w:rPr>
          <w:rFonts w:cs="Times-Roman"/>
          <w:sz w:val="24"/>
          <w:szCs w:val="24"/>
        </w:rPr>
        <w:t xml:space="preserve">no </w:t>
      </w:r>
      <w:r w:rsidR="000879E5">
        <w:rPr>
          <w:rFonts w:cs="Times-Roman"/>
          <w:sz w:val="24"/>
          <w:szCs w:val="24"/>
        </w:rPr>
        <w:t>genera</w:t>
      </w:r>
      <w:r w:rsidR="008F0796">
        <w:rPr>
          <w:rFonts w:cs="Times-Roman"/>
          <w:sz w:val="24"/>
          <w:szCs w:val="24"/>
        </w:rPr>
        <w:t>r carácter regresivo para el ejercicio de los derechos sociales– deben constituir un principio promocionado constitucionalmente  (Ej: acuerdos comerciales de la OMC).</w:t>
      </w:r>
    </w:p>
    <w:p w:rsidR="00F12979" w:rsidRDefault="00F12979" w:rsidP="00F12979">
      <w:pPr>
        <w:spacing w:line="360" w:lineRule="auto"/>
        <w:jc w:val="both"/>
        <w:rPr>
          <w:sz w:val="24"/>
          <w:szCs w:val="24"/>
          <w:lang w:val="es-ES_tradnl"/>
        </w:rPr>
      </w:pPr>
    </w:p>
    <w:p w:rsidR="0063676D" w:rsidRDefault="0063676D" w:rsidP="00F12979">
      <w:pPr>
        <w:pStyle w:val="Prrafodelista"/>
        <w:numPr>
          <w:ilvl w:val="0"/>
          <w:numId w:val="1"/>
        </w:numPr>
        <w:spacing w:line="360" w:lineRule="auto"/>
        <w:jc w:val="both"/>
        <w:rPr>
          <w:i/>
          <w:sz w:val="24"/>
          <w:szCs w:val="24"/>
          <w:lang w:val="es-ES_tradnl"/>
        </w:rPr>
      </w:pPr>
      <w:r w:rsidRPr="00F12979">
        <w:rPr>
          <w:i/>
          <w:sz w:val="24"/>
          <w:szCs w:val="24"/>
          <w:lang w:val="es-ES_tradnl"/>
        </w:rPr>
        <w:t>La tutela y garantía de los DESC</w:t>
      </w:r>
    </w:p>
    <w:p w:rsidR="00E95409" w:rsidRPr="00F12979" w:rsidRDefault="00E95409" w:rsidP="00E95409">
      <w:pPr>
        <w:pStyle w:val="Prrafodelista"/>
        <w:spacing w:line="360" w:lineRule="auto"/>
        <w:jc w:val="both"/>
        <w:rPr>
          <w:i/>
          <w:sz w:val="24"/>
          <w:szCs w:val="24"/>
          <w:lang w:val="es-ES_tradnl"/>
        </w:rPr>
      </w:pPr>
    </w:p>
    <w:p w:rsidR="008F1258" w:rsidRDefault="000C05D0" w:rsidP="00430CCE">
      <w:pPr>
        <w:spacing w:line="360" w:lineRule="auto"/>
        <w:jc w:val="both"/>
        <w:rPr>
          <w:sz w:val="24"/>
          <w:szCs w:val="24"/>
          <w:lang w:val="es-ES_tradnl"/>
        </w:rPr>
      </w:pPr>
      <w:r>
        <w:rPr>
          <w:sz w:val="24"/>
          <w:szCs w:val="24"/>
          <w:lang w:val="es-ES_tradnl"/>
        </w:rPr>
        <w:t>Como se esbozaba previamente, t</w:t>
      </w:r>
      <w:r w:rsidR="00845CE3">
        <w:rPr>
          <w:sz w:val="24"/>
          <w:szCs w:val="24"/>
          <w:lang w:val="es-ES_tradnl"/>
        </w:rPr>
        <w:t>ambién se distinguen l</w:t>
      </w:r>
      <w:r w:rsidR="00430CCE">
        <w:rPr>
          <w:sz w:val="24"/>
          <w:szCs w:val="24"/>
          <w:lang w:val="es-ES_tradnl"/>
        </w:rPr>
        <w:t xml:space="preserve">os derechos civiles y </w:t>
      </w:r>
      <w:r w:rsidR="00341BE8">
        <w:rPr>
          <w:sz w:val="24"/>
          <w:szCs w:val="24"/>
          <w:lang w:val="es-ES_tradnl"/>
        </w:rPr>
        <w:t>políticos</w:t>
      </w:r>
      <w:r w:rsidR="00845CE3">
        <w:rPr>
          <w:sz w:val="24"/>
          <w:szCs w:val="24"/>
          <w:lang w:val="es-ES_tradnl"/>
        </w:rPr>
        <w:t xml:space="preserve"> </w:t>
      </w:r>
      <w:r w:rsidR="00D128F1">
        <w:rPr>
          <w:sz w:val="24"/>
          <w:szCs w:val="24"/>
          <w:lang w:val="es-ES_tradnl"/>
        </w:rPr>
        <w:t>de</w:t>
      </w:r>
      <w:r w:rsidR="00430CCE">
        <w:rPr>
          <w:sz w:val="24"/>
          <w:szCs w:val="24"/>
          <w:lang w:val="es-ES_tradnl"/>
        </w:rPr>
        <w:t xml:space="preserve"> los derechos sociales, </w:t>
      </w:r>
      <w:r w:rsidR="00113C07" w:rsidRPr="00341BE8">
        <w:rPr>
          <w:sz w:val="24"/>
          <w:szCs w:val="24"/>
          <w:lang w:val="es-ES_tradnl"/>
        </w:rPr>
        <w:t>en cuanto a</w:t>
      </w:r>
      <w:r w:rsidR="00D128F1" w:rsidRPr="00341BE8">
        <w:rPr>
          <w:sz w:val="24"/>
          <w:szCs w:val="24"/>
          <w:lang w:val="es-ES_tradnl"/>
        </w:rPr>
        <w:t xml:space="preserve"> </w:t>
      </w:r>
      <w:r w:rsidR="00113C07" w:rsidRPr="00341BE8">
        <w:rPr>
          <w:sz w:val="24"/>
          <w:szCs w:val="24"/>
          <w:lang w:val="es-ES_tradnl"/>
        </w:rPr>
        <w:t>l</w:t>
      </w:r>
      <w:r w:rsidR="00D128F1" w:rsidRPr="00341BE8">
        <w:rPr>
          <w:sz w:val="24"/>
          <w:szCs w:val="24"/>
          <w:lang w:val="es-ES_tradnl"/>
        </w:rPr>
        <w:t>a naturaleza jurídica de la</w:t>
      </w:r>
      <w:r w:rsidR="00113C07" w:rsidRPr="00341BE8">
        <w:rPr>
          <w:sz w:val="24"/>
          <w:szCs w:val="24"/>
          <w:lang w:val="es-ES_tradnl"/>
        </w:rPr>
        <w:t xml:space="preserve"> obligación </w:t>
      </w:r>
      <w:r w:rsidR="00D128F1" w:rsidRPr="00341BE8">
        <w:rPr>
          <w:sz w:val="24"/>
          <w:szCs w:val="24"/>
          <w:lang w:val="es-ES_tradnl"/>
        </w:rPr>
        <w:t>que asume el Estado</w:t>
      </w:r>
      <w:r w:rsidR="0082503C" w:rsidRPr="00341BE8">
        <w:rPr>
          <w:sz w:val="24"/>
          <w:szCs w:val="24"/>
          <w:lang w:val="es-ES_tradnl"/>
        </w:rPr>
        <w:t xml:space="preserve">. </w:t>
      </w:r>
      <w:r w:rsidR="0082503C">
        <w:rPr>
          <w:sz w:val="24"/>
          <w:szCs w:val="24"/>
          <w:lang w:val="es-ES_tradnl"/>
        </w:rPr>
        <w:t>L</w:t>
      </w:r>
      <w:r w:rsidR="00430CCE">
        <w:rPr>
          <w:sz w:val="24"/>
          <w:szCs w:val="24"/>
          <w:lang w:val="es-ES_tradnl"/>
        </w:rPr>
        <w:t>os derechos sociales</w:t>
      </w:r>
      <w:r w:rsidR="00113C07">
        <w:rPr>
          <w:sz w:val="24"/>
          <w:szCs w:val="24"/>
          <w:lang w:val="es-ES_tradnl"/>
        </w:rPr>
        <w:t xml:space="preserve"> </w:t>
      </w:r>
      <w:r w:rsidR="00430CCE">
        <w:rPr>
          <w:sz w:val="24"/>
          <w:szCs w:val="24"/>
          <w:lang w:val="es-ES_tradnl"/>
        </w:rPr>
        <w:t xml:space="preserve">importan del Estado prestaciones positivas de hacer mientras que respecto de los derechos civiles y políticos, se entiende tradicionalmente que importan por parte del Estado obligaciones de no hacer, es decir de abstención, de no vulnerar el </w:t>
      </w:r>
      <w:r w:rsidR="00D878B1">
        <w:rPr>
          <w:sz w:val="24"/>
          <w:szCs w:val="24"/>
          <w:lang w:val="es-ES_tradnl"/>
        </w:rPr>
        <w:t>derecho a la vida, el derecho de propiedad</w:t>
      </w:r>
      <w:r w:rsidR="00430CCE">
        <w:rPr>
          <w:sz w:val="24"/>
          <w:szCs w:val="24"/>
          <w:lang w:val="es-ES_tradnl"/>
        </w:rPr>
        <w:t xml:space="preserve">, el derecho </w:t>
      </w:r>
      <w:r w:rsidR="00D878B1">
        <w:rPr>
          <w:sz w:val="24"/>
          <w:szCs w:val="24"/>
          <w:lang w:val="es-ES_tradnl"/>
        </w:rPr>
        <w:t>a desarrollar libremente cualquier actividad económica</w:t>
      </w:r>
      <w:r w:rsidR="00430CCE">
        <w:rPr>
          <w:sz w:val="24"/>
          <w:szCs w:val="24"/>
          <w:lang w:val="es-ES_tradnl"/>
        </w:rPr>
        <w:t>, etc.</w:t>
      </w:r>
      <w:r w:rsidR="00FC5F08">
        <w:rPr>
          <w:sz w:val="24"/>
          <w:szCs w:val="24"/>
          <w:lang w:val="es-ES_tradnl"/>
        </w:rPr>
        <w:t xml:space="preserve"> </w:t>
      </w:r>
    </w:p>
    <w:p w:rsidR="00F16DBE" w:rsidRDefault="00B9295F" w:rsidP="00D878B1">
      <w:pPr>
        <w:spacing w:line="360" w:lineRule="auto"/>
        <w:jc w:val="both"/>
        <w:rPr>
          <w:sz w:val="24"/>
          <w:szCs w:val="24"/>
          <w:lang w:val="es-ES_tradnl"/>
        </w:rPr>
      </w:pPr>
      <w:r>
        <w:rPr>
          <w:sz w:val="24"/>
          <w:szCs w:val="24"/>
          <w:lang w:val="es-ES_tradnl"/>
        </w:rPr>
        <w:t>En el caso de l</w:t>
      </w:r>
      <w:r w:rsidR="005B3376">
        <w:rPr>
          <w:sz w:val="24"/>
          <w:szCs w:val="24"/>
          <w:lang w:val="es-ES_tradnl"/>
        </w:rPr>
        <w:t xml:space="preserve">a Constitución del 80, </w:t>
      </w:r>
      <w:r>
        <w:rPr>
          <w:sz w:val="24"/>
          <w:szCs w:val="24"/>
          <w:lang w:val="es-ES_tradnl"/>
        </w:rPr>
        <w:t xml:space="preserve">ésta </w:t>
      </w:r>
      <w:r w:rsidR="005B3376">
        <w:rPr>
          <w:sz w:val="24"/>
          <w:szCs w:val="24"/>
          <w:lang w:val="es-ES_tradnl"/>
        </w:rPr>
        <w:t>consagr</w:t>
      </w:r>
      <w:r w:rsidR="008F1258">
        <w:rPr>
          <w:sz w:val="24"/>
          <w:szCs w:val="24"/>
          <w:lang w:val="es-ES_tradnl"/>
        </w:rPr>
        <w:t>ó</w:t>
      </w:r>
      <w:r w:rsidR="005B3376">
        <w:rPr>
          <w:sz w:val="24"/>
          <w:szCs w:val="24"/>
          <w:lang w:val="es-ES_tradnl"/>
        </w:rPr>
        <w:t xml:space="preserve"> </w:t>
      </w:r>
      <w:r w:rsidR="00D878B1">
        <w:rPr>
          <w:sz w:val="24"/>
          <w:szCs w:val="24"/>
          <w:lang w:val="es-ES_tradnl"/>
        </w:rPr>
        <w:t xml:space="preserve">un </w:t>
      </w:r>
      <w:r w:rsidR="005B3376">
        <w:rPr>
          <w:sz w:val="24"/>
          <w:szCs w:val="24"/>
          <w:lang w:val="es-ES_tradnl"/>
        </w:rPr>
        <w:t>Estado Liberal</w:t>
      </w:r>
      <w:r w:rsidR="00D878B1">
        <w:rPr>
          <w:sz w:val="24"/>
          <w:szCs w:val="24"/>
          <w:lang w:val="es-ES_tradnl"/>
        </w:rPr>
        <w:t xml:space="preserve"> de Derecho</w:t>
      </w:r>
      <w:r w:rsidR="008F1258">
        <w:rPr>
          <w:sz w:val="24"/>
          <w:szCs w:val="24"/>
          <w:lang w:val="es-ES_tradnl"/>
        </w:rPr>
        <w:t xml:space="preserve">, </w:t>
      </w:r>
      <w:r w:rsidR="00D878B1">
        <w:rPr>
          <w:sz w:val="24"/>
          <w:szCs w:val="24"/>
          <w:lang w:val="es-ES_tradnl"/>
        </w:rPr>
        <w:t>en el cual los derechos civiles y políticos no se encuentren complementados adecuadamente</w:t>
      </w:r>
      <w:r w:rsidR="00F04DE5">
        <w:rPr>
          <w:sz w:val="24"/>
          <w:szCs w:val="24"/>
          <w:lang w:val="es-ES_tradnl"/>
        </w:rPr>
        <w:t xml:space="preserve"> por los derechos sociales. Prueba de ello, el artículo 20 de la Carta Fundamental. Al establecer el recurso de protección </w:t>
      </w:r>
      <w:r w:rsidR="00E95409">
        <w:rPr>
          <w:sz w:val="24"/>
          <w:szCs w:val="24"/>
          <w:lang w:val="es-ES_tradnl"/>
        </w:rPr>
        <w:t>y su aplicabilidad respecto de derechos constitucionales consagrados en el artículo 19</w:t>
      </w:r>
      <w:r w:rsidR="00F04DE5">
        <w:rPr>
          <w:sz w:val="24"/>
          <w:szCs w:val="24"/>
          <w:lang w:val="es-ES_tradnl"/>
        </w:rPr>
        <w:t>, se traza una línea divisoria nítida entre unos y otros. Un ejemplo que grafica de muy buena manera dicha dicotomía la constituye la libertad de enseñan</w:t>
      </w:r>
      <w:r w:rsidR="00F16DBE">
        <w:rPr>
          <w:sz w:val="24"/>
          <w:szCs w:val="24"/>
          <w:lang w:val="es-ES_tradnl"/>
        </w:rPr>
        <w:t>za y el derecho a la educación. El</w:t>
      </w:r>
      <w:r w:rsidR="00EC329A">
        <w:rPr>
          <w:sz w:val="24"/>
          <w:szCs w:val="24"/>
          <w:lang w:val="es-ES_tradnl"/>
        </w:rPr>
        <w:t xml:space="preserve"> artículo 20 entabla recurso de protección prácticamente s</w:t>
      </w:r>
      <w:r w:rsidR="00F16DBE">
        <w:rPr>
          <w:sz w:val="24"/>
          <w:szCs w:val="24"/>
          <w:lang w:val="es-ES_tradnl"/>
        </w:rPr>
        <w:t>ó</w:t>
      </w:r>
      <w:r w:rsidR="00EC329A">
        <w:rPr>
          <w:sz w:val="24"/>
          <w:szCs w:val="24"/>
          <w:lang w:val="es-ES_tradnl"/>
        </w:rPr>
        <w:t>lo para los de</w:t>
      </w:r>
      <w:r w:rsidR="00F16DBE">
        <w:rPr>
          <w:sz w:val="24"/>
          <w:szCs w:val="24"/>
          <w:lang w:val="es-ES_tradnl"/>
        </w:rPr>
        <w:t>rechos civiles y políticos.</w:t>
      </w:r>
    </w:p>
    <w:p w:rsidR="00F16DBE" w:rsidRDefault="00F16DBE" w:rsidP="00D878B1">
      <w:pPr>
        <w:spacing w:line="360" w:lineRule="auto"/>
        <w:jc w:val="both"/>
        <w:rPr>
          <w:sz w:val="24"/>
          <w:szCs w:val="24"/>
          <w:lang w:val="es-ES_tradnl"/>
        </w:rPr>
      </w:pPr>
      <w:r>
        <w:rPr>
          <w:sz w:val="24"/>
          <w:szCs w:val="24"/>
          <w:lang w:val="es-ES_tradnl"/>
        </w:rPr>
        <w:t>E</w:t>
      </w:r>
      <w:r w:rsidR="00496F67">
        <w:rPr>
          <w:sz w:val="24"/>
          <w:szCs w:val="24"/>
          <w:lang w:val="es-ES_tradnl"/>
        </w:rPr>
        <w:t xml:space="preserve">l Estado Social de Derecho, que es el que propugnamos, debe equiparar aquello. </w:t>
      </w:r>
      <w:r>
        <w:rPr>
          <w:sz w:val="24"/>
          <w:szCs w:val="24"/>
          <w:lang w:val="es-ES_tradnl"/>
        </w:rPr>
        <w:t xml:space="preserve">El </w:t>
      </w:r>
      <w:r w:rsidR="00496F67">
        <w:rPr>
          <w:sz w:val="24"/>
          <w:szCs w:val="24"/>
          <w:lang w:val="es-ES_tradnl"/>
        </w:rPr>
        <w:t xml:space="preserve">Tribunal Constitucional ya lo indicó con claridad con ocasión de la Ley de Isapres. </w:t>
      </w:r>
    </w:p>
    <w:p w:rsidR="006B7ADD" w:rsidRPr="00997C05" w:rsidRDefault="006B7ADD" w:rsidP="00997C05">
      <w:pPr>
        <w:spacing w:line="360" w:lineRule="auto"/>
        <w:rPr>
          <w:sz w:val="24"/>
          <w:szCs w:val="24"/>
          <w:lang w:val="es-ES_tradnl"/>
        </w:rPr>
      </w:pPr>
    </w:p>
    <w:p w:rsidR="006B7ADD" w:rsidRDefault="006B7ADD" w:rsidP="00997C05">
      <w:pPr>
        <w:spacing w:line="360" w:lineRule="auto"/>
        <w:rPr>
          <w:sz w:val="24"/>
          <w:szCs w:val="24"/>
          <w:lang w:val="es-ES_tradnl"/>
        </w:rPr>
      </w:pPr>
      <w:r w:rsidRPr="00997C05">
        <w:rPr>
          <w:sz w:val="24"/>
          <w:szCs w:val="24"/>
          <w:lang w:val="es-ES_tradnl"/>
        </w:rPr>
        <w:t>5.- La acción de tutela de los derechos fu</w:t>
      </w:r>
      <w:r w:rsidR="00960BA4">
        <w:rPr>
          <w:sz w:val="24"/>
          <w:szCs w:val="24"/>
          <w:lang w:val="es-ES_tradnl"/>
        </w:rPr>
        <w:t>ndamentales. Sede, nuevo diseño</w:t>
      </w:r>
    </w:p>
    <w:p w:rsidR="00960BA4" w:rsidRDefault="00960BA4" w:rsidP="00A306F8">
      <w:pPr>
        <w:spacing w:line="360" w:lineRule="auto"/>
        <w:jc w:val="both"/>
        <w:rPr>
          <w:sz w:val="24"/>
          <w:szCs w:val="24"/>
          <w:lang w:val="es-ES_tradnl"/>
        </w:rPr>
      </w:pPr>
      <w:r>
        <w:rPr>
          <w:sz w:val="24"/>
          <w:szCs w:val="24"/>
          <w:lang w:val="es-ES_tradnl"/>
        </w:rPr>
        <w:t>Es tradicional que una de las competencias de los Tribunales y cortes constitucionales sea la de conocer recursos de tutela de derechos fundamentales. En el caso chileno se opta en la C. del 80 por radicar dicha competencia en la jurisdicción ordinaria a través, principalmente, del recurso de protección. La experiencia indica a lo largo de la vigencia de este modelo, que en ocasiones cuando se busca el pronunciamiento del Tribunal Constitucional en materia de derechos fundamentales se recurre primero a la jurisdicción ordinaria a través de un recurso de protección y luego en el marco de este proceso se presenta una inaplicabilidad por inconstitucionalidad para de esta manera provocar un pronunciamiento del Tribunal Constitucional.</w:t>
      </w:r>
    </w:p>
    <w:p w:rsidR="00960BA4" w:rsidRDefault="00960BA4" w:rsidP="00A306F8">
      <w:pPr>
        <w:spacing w:line="360" w:lineRule="auto"/>
        <w:jc w:val="both"/>
        <w:rPr>
          <w:sz w:val="24"/>
          <w:szCs w:val="24"/>
          <w:lang w:val="es-ES_tradnl"/>
        </w:rPr>
      </w:pPr>
      <w:r>
        <w:rPr>
          <w:sz w:val="24"/>
          <w:szCs w:val="24"/>
          <w:lang w:val="es-ES_tradnl"/>
        </w:rPr>
        <w:t xml:space="preserve">Existen razones de peso para sostener que es importante que la jurisdicción ordinaria conserve el procedimiento de </w:t>
      </w:r>
      <w:r w:rsidR="009E0F52">
        <w:rPr>
          <w:sz w:val="24"/>
          <w:szCs w:val="24"/>
          <w:lang w:val="es-ES_tradnl"/>
        </w:rPr>
        <w:t xml:space="preserve">tutela de los derechos reconocidos en la Constitución, especialmente por su presencia territorial y cercanía. Sin embargo, también se hace evidente que debiera implementarse una acción de tutela especial ante el Tribunal Constitucional para conocer  de determinadas tutelas de derechos previo examen de admisibilidad. </w:t>
      </w:r>
      <w:r w:rsidR="00A306F8">
        <w:rPr>
          <w:sz w:val="24"/>
          <w:szCs w:val="24"/>
          <w:lang w:val="es-ES_tradnl"/>
        </w:rPr>
        <w:t xml:space="preserve">Dicha admisibilidad debería estar principalmente asociada a interpretaciones sobre derechos fundamentales con efectos más allá del caso concreto que se analiza (por ejemplo, afectación de derechos fundamentales por leyes; interpretación normativa con efectos más allá del caso concreto que se analiza; interpretación integradora de derechos fundamentales a la luz de tratados internacionales ratificados y vigentes). </w:t>
      </w:r>
    </w:p>
    <w:p w:rsidR="00A306F8" w:rsidRDefault="00A306F8" w:rsidP="00997C05">
      <w:pPr>
        <w:spacing w:line="360" w:lineRule="auto"/>
        <w:rPr>
          <w:sz w:val="24"/>
          <w:szCs w:val="24"/>
          <w:lang w:val="es-ES_tradnl"/>
        </w:rPr>
      </w:pPr>
    </w:p>
    <w:p w:rsidR="006B7ADD" w:rsidRDefault="006B7ADD" w:rsidP="00997C05">
      <w:pPr>
        <w:spacing w:line="360" w:lineRule="auto"/>
        <w:rPr>
          <w:sz w:val="24"/>
          <w:szCs w:val="24"/>
          <w:lang w:val="es-ES_tradnl"/>
        </w:rPr>
      </w:pPr>
      <w:r w:rsidRPr="00997C05">
        <w:rPr>
          <w:sz w:val="24"/>
          <w:szCs w:val="24"/>
          <w:lang w:val="es-ES_tradnl"/>
        </w:rPr>
        <w:t>6.- principio de no discriminación</w:t>
      </w:r>
    </w:p>
    <w:p w:rsidR="006B7ADD" w:rsidRPr="00997C05" w:rsidRDefault="006B7ADD" w:rsidP="00997C05">
      <w:pPr>
        <w:spacing w:line="360" w:lineRule="auto"/>
        <w:rPr>
          <w:sz w:val="24"/>
          <w:szCs w:val="24"/>
          <w:lang w:val="es-ES_tradnl"/>
        </w:rPr>
      </w:pPr>
      <w:r w:rsidRPr="00997C05">
        <w:rPr>
          <w:sz w:val="24"/>
          <w:szCs w:val="24"/>
          <w:lang w:val="es-ES_tradnl"/>
        </w:rPr>
        <w:t>7.- Desarrollo sostenible</w:t>
      </w:r>
    </w:p>
    <w:p w:rsidR="006B7ADD" w:rsidRDefault="00A306F8" w:rsidP="00F16DBE">
      <w:pPr>
        <w:spacing w:line="360" w:lineRule="auto"/>
        <w:jc w:val="both"/>
        <w:rPr>
          <w:sz w:val="24"/>
          <w:szCs w:val="24"/>
          <w:lang w:val="es-ES_tradnl"/>
        </w:rPr>
      </w:pPr>
      <w:r>
        <w:rPr>
          <w:sz w:val="24"/>
          <w:szCs w:val="24"/>
          <w:lang w:val="es-ES_tradnl"/>
        </w:rPr>
        <w:t>El desarrollo económico, humano y material incorporará como principio rector la protección y cuidado del ambiente y el patrimonio natural</w:t>
      </w:r>
      <w:r w:rsidR="00415D32">
        <w:rPr>
          <w:sz w:val="24"/>
          <w:szCs w:val="24"/>
          <w:lang w:val="es-ES_tradnl"/>
        </w:rPr>
        <w:t xml:space="preserve"> para tutelar su subsistencia.</w:t>
      </w:r>
    </w:p>
    <w:p w:rsidR="00415D32" w:rsidRPr="00997C05" w:rsidRDefault="00415D32" w:rsidP="00F16DBE">
      <w:pPr>
        <w:spacing w:line="360" w:lineRule="auto"/>
        <w:jc w:val="both"/>
        <w:rPr>
          <w:sz w:val="24"/>
          <w:szCs w:val="24"/>
          <w:lang w:val="es-ES_tradnl"/>
        </w:rPr>
      </w:pPr>
      <w:r>
        <w:rPr>
          <w:sz w:val="24"/>
          <w:szCs w:val="24"/>
          <w:lang w:val="es-ES_tradnl"/>
        </w:rPr>
        <w:lastRenderedPageBreak/>
        <w:t>Las generaciones presentes no comprometerán los recursos naturales de las futuras generaciones.</w:t>
      </w:r>
    </w:p>
    <w:p w:rsidR="006B7ADD" w:rsidRPr="00997C05" w:rsidRDefault="006B7ADD" w:rsidP="00997C05">
      <w:pPr>
        <w:spacing w:line="360" w:lineRule="auto"/>
        <w:rPr>
          <w:sz w:val="24"/>
          <w:szCs w:val="24"/>
          <w:lang w:val="es-ES_tradnl"/>
        </w:rPr>
      </w:pPr>
    </w:p>
    <w:p w:rsidR="006B7ADD" w:rsidRPr="00997C05" w:rsidRDefault="006B7ADD" w:rsidP="00997C05">
      <w:pPr>
        <w:spacing w:line="360" w:lineRule="auto"/>
        <w:rPr>
          <w:sz w:val="24"/>
          <w:szCs w:val="24"/>
          <w:lang w:val="es-ES_tradnl"/>
        </w:rPr>
      </w:pPr>
      <w:r w:rsidRPr="00997C05">
        <w:rPr>
          <w:sz w:val="24"/>
          <w:szCs w:val="24"/>
          <w:lang w:val="es-ES_tradnl"/>
        </w:rPr>
        <w:t>Conclusiones</w:t>
      </w:r>
    </w:p>
    <w:sectPr w:rsidR="006B7ADD" w:rsidRPr="00997C05" w:rsidSect="00315E74">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84F" w:rsidRDefault="007B184F" w:rsidP="00E87A0F">
      <w:pPr>
        <w:spacing w:after="0" w:line="240" w:lineRule="auto"/>
      </w:pPr>
      <w:r>
        <w:separator/>
      </w:r>
    </w:p>
  </w:endnote>
  <w:endnote w:type="continuationSeparator" w:id="0">
    <w:p w:rsidR="007B184F" w:rsidRDefault="007B184F" w:rsidP="00E87A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66532"/>
      <w:docPartObj>
        <w:docPartGallery w:val="Page Numbers (Bottom of Page)"/>
        <w:docPartUnique/>
      </w:docPartObj>
    </w:sdtPr>
    <w:sdtEndPr/>
    <w:sdtContent>
      <w:p w:rsidR="00883413" w:rsidRDefault="0021194A">
        <w:pPr>
          <w:pStyle w:val="Piedepgina"/>
          <w:jc w:val="right"/>
        </w:pPr>
        <w:r>
          <w:fldChar w:fldCharType="begin"/>
        </w:r>
        <w:r w:rsidR="002735D0">
          <w:instrText xml:space="preserve"> PAGE   \* MERGEFORMAT </w:instrText>
        </w:r>
        <w:r>
          <w:fldChar w:fldCharType="separate"/>
        </w:r>
        <w:r w:rsidR="0013241C">
          <w:rPr>
            <w:noProof/>
          </w:rPr>
          <w:t>1</w:t>
        </w:r>
        <w:r>
          <w:rPr>
            <w:noProof/>
          </w:rPr>
          <w:fldChar w:fldCharType="end"/>
        </w:r>
      </w:p>
    </w:sdtContent>
  </w:sdt>
  <w:p w:rsidR="00883413" w:rsidRDefault="0088341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84F" w:rsidRDefault="007B184F" w:rsidP="00E87A0F">
      <w:pPr>
        <w:spacing w:after="0" w:line="240" w:lineRule="auto"/>
      </w:pPr>
      <w:r>
        <w:separator/>
      </w:r>
    </w:p>
  </w:footnote>
  <w:footnote w:type="continuationSeparator" w:id="0">
    <w:p w:rsidR="007B184F" w:rsidRDefault="007B184F" w:rsidP="00E87A0F">
      <w:pPr>
        <w:spacing w:after="0" w:line="240" w:lineRule="auto"/>
      </w:pPr>
      <w:r>
        <w:continuationSeparator/>
      </w:r>
    </w:p>
  </w:footnote>
  <w:footnote w:id="1">
    <w:p w:rsidR="00F03692" w:rsidRPr="00F03692" w:rsidRDefault="00F03692" w:rsidP="00D15FD1">
      <w:pPr>
        <w:pStyle w:val="Textonotapie"/>
        <w:jc w:val="both"/>
        <w:rPr>
          <w:rFonts w:asciiTheme="minorHAnsi" w:hAnsiTheme="minorHAnsi"/>
        </w:rPr>
      </w:pPr>
      <w:r w:rsidRPr="00F03692">
        <w:rPr>
          <w:rStyle w:val="Refdenotaalpie"/>
          <w:rFonts w:asciiTheme="minorHAnsi" w:hAnsiTheme="minorHAnsi"/>
        </w:rPr>
        <w:footnoteRef/>
      </w:r>
      <w:r w:rsidRPr="00F03692">
        <w:rPr>
          <w:rFonts w:asciiTheme="minorHAnsi" w:hAnsiTheme="minorHAnsi"/>
        </w:rPr>
        <w:t xml:space="preserve"> </w:t>
      </w:r>
      <w:r w:rsidR="00415D32">
        <w:rPr>
          <w:rFonts w:asciiTheme="minorHAnsi" w:hAnsiTheme="minorHAnsi"/>
        </w:rPr>
        <w:t>Licenciada en Ciencias Jurídicas y Sociales de la Universidad de Chile. Doctora en Derecho por la Universidad de Valladolid. Profesora de Derecho Constitucional e investigadora del Centro de Estudios Constitucionales de la Universidad de Talca.</w:t>
      </w:r>
    </w:p>
  </w:footnote>
  <w:footnote w:id="2">
    <w:p w:rsidR="00883413" w:rsidRPr="004F6F4E" w:rsidRDefault="00883413" w:rsidP="004F6F4E">
      <w:pPr>
        <w:pStyle w:val="Textonotapie"/>
        <w:jc w:val="both"/>
        <w:rPr>
          <w:rFonts w:asciiTheme="minorHAnsi" w:hAnsiTheme="minorHAnsi"/>
        </w:rPr>
      </w:pPr>
      <w:r w:rsidRPr="004F6F4E">
        <w:rPr>
          <w:rStyle w:val="Refdenotaalpie"/>
          <w:rFonts w:asciiTheme="minorHAnsi" w:hAnsiTheme="minorHAnsi"/>
        </w:rPr>
        <w:footnoteRef/>
      </w:r>
      <w:r w:rsidRPr="004F6F4E">
        <w:rPr>
          <w:rFonts w:asciiTheme="minorHAnsi" w:hAnsiTheme="minorHAnsi"/>
        </w:rPr>
        <w:t xml:space="preserve"> </w:t>
      </w:r>
      <w:r>
        <w:rPr>
          <w:rFonts w:asciiTheme="minorHAnsi" w:hAnsiTheme="minorHAnsi"/>
        </w:rPr>
        <w:t xml:space="preserve">Licenciado en Ciencias Jurídicas y Sociales de la Universidad de Chile. </w:t>
      </w:r>
      <w:r w:rsidR="00D15FD1">
        <w:rPr>
          <w:rFonts w:asciiTheme="minorHAnsi" w:hAnsiTheme="minorHAnsi"/>
        </w:rPr>
        <w:t>Doctor en Derecho de la Universidad Complutense de Madrid. Magíster en Salud Internacional. Profesor de Derecho Constitucional,</w:t>
      </w:r>
      <w:r>
        <w:rPr>
          <w:rFonts w:asciiTheme="minorHAnsi" w:hAnsiTheme="minorHAnsi"/>
        </w:rPr>
        <w:t xml:space="preserve"> Departamento de Ciencias Jurídicas de la Universidad de la Front</w:t>
      </w:r>
      <w:r w:rsidR="00D15FD1">
        <w:rPr>
          <w:rFonts w:asciiTheme="minorHAnsi" w:hAnsiTheme="minorHAnsi"/>
        </w:rPr>
        <w:t xml:space="preserve">era. </w:t>
      </w:r>
    </w:p>
  </w:footnote>
  <w:footnote w:id="3">
    <w:p w:rsidR="00883413" w:rsidRPr="00997C05" w:rsidRDefault="00883413" w:rsidP="00D15FD1">
      <w:pPr>
        <w:pStyle w:val="Textonotapie"/>
        <w:rPr>
          <w:rFonts w:asciiTheme="minorHAnsi" w:hAnsiTheme="minorHAnsi"/>
        </w:rPr>
      </w:pPr>
      <w:r w:rsidRPr="00997C05">
        <w:rPr>
          <w:rStyle w:val="Refdenotaalpie"/>
          <w:rFonts w:asciiTheme="minorHAnsi" w:hAnsiTheme="minorHAnsi"/>
        </w:rPr>
        <w:footnoteRef/>
      </w:r>
      <w:r w:rsidRPr="00997C05">
        <w:rPr>
          <w:rFonts w:asciiTheme="minorHAnsi" w:hAnsiTheme="minorHAnsi"/>
        </w:rPr>
        <w:t xml:space="preserve"> Sus declaraciones son registradas en:</w:t>
      </w:r>
    </w:p>
    <w:p w:rsidR="00883413" w:rsidRPr="00997C05" w:rsidRDefault="007B184F" w:rsidP="00D15FD1">
      <w:pPr>
        <w:pStyle w:val="Textonotapie"/>
        <w:rPr>
          <w:rFonts w:asciiTheme="minorHAnsi" w:hAnsiTheme="minorHAnsi"/>
        </w:rPr>
      </w:pPr>
      <w:hyperlink r:id="rId1" w:history="1">
        <w:r w:rsidR="00883413" w:rsidRPr="00997C05">
          <w:rPr>
            <w:rFonts w:asciiTheme="minorHAnsi" w:hAnsiTheme="minorHAnsi"/>
          </w:rPr>
          <w:t>http://www.cooperativa.cl/presidente-lagos--reformas-constitucionales-marcan-el-fin-de-la-transicion/prontus_nots/2005-07-14/100948.html</w:t>
        </w:r>
      </w:hyperlink>
      <w:r w:rsidR="00883413" w:rsidRPr="00997C05">
        <w:rPr>
          <w:rFonts w:asciiTheme="minorHAnsi" w:hAnsiTheme="minorHAnsi"/>
        </w:rPr>
        <w:t>. Visto el 10 de enero de 2008.</w:t>
      </w:r>
    </w:p>
  </w:footnote>
  <w:footnote w:id="4">
    <w:p w:rsidR="00883413" w:rsidRPr="00997C05" w:rsidRDefault="00883413" w:rsidP="00D15FD1">
      <w:pPr>
        <w:spacing w:after="0" w:line="240" w:lineRule="auto"/>
        <w:rPr>
          <w:sz w:val="20"/>
          <w:szCs w:val="20"/>
        </w:rPr>
      </w:pPr>
      <w:r w:rsidRPr="00997C05">
        <w:rPr>
          <w:rStyle w:val="Refdenotaalpie"/>
          <w:sz w:val="20"/>
          <w:szCs w:val="20"/>
        </w:rPr>
        <w:footnoteRef/>
      </w:r>
      <w:r w:rsidRPr="00997C05">
        <w:rPr>
          <w:sz w:val="20"/>
          <w:szCs w:val="20"/>
        </w:rPr>
        <w:t xml:space="preserve"> Aragón Manuel. Constitución y Democracia. tecnos, Madrid 1990, pp. 27.</w:t>
      </w:r>
    </w:p>
  </w:footnote>
  <w:footnote w:id="5">
    <w:p w:rsidR="00883413" w:rsidRPr="00997C05" w:rsidRDefault="00883413" w:rsidP="00D15FD1">
      <w:pPr>
        <w:pStyle w:val="Textonotapie"/>
        <w:jc w:val="both"/>
        <w:rPr>
          <w:rFonts w:asciiTheme="minorHAnsi" w:hAnsiTheme="minorHAnsi"/>
        </w:rPr>
      </w:pPr>
      <w:r w:rsidRPr="00997C05">
        <w:rPr>
          <w:rStyle w:val="Refdenotaalpie"/>
          <w:rFonts w:asciiTheme="minorHAnsi" w:hAnsiTheme="minorHAnsi"/>
        </w:rPr>
        <w:footnoteRef/>
      </w:r>
      <w:r w:rsidRPr="00997C05">
        <w:rPr>
          <w:rFonts w:asciiTheme="minorHAnsi" w:hAnsiTheme="minorHAnsi"/>
        </w:rPr>
        <w:t xml:space="preserve"> En esta materia Alfonso Fernández-Miranda Campoamor dice: “a) No hay Constitución sin democracia [y] b) No hay democracia sin Constitución…Sólo es posible hablar de Estado constitucional cuando la atribución de la titularidad de la soberanía y, por tanto, el fundamento de la legitimidad del poder, la fuente de su limitación y de la validez del derecho, se encuentra en la voluntad </w:t>
      </w:r>
      <w:r w:rsidRPr="00997C05">
        <w:rPr>
          <w:rFonts w:asciiTheme="minorHAnsi" w:hAnsiTheme="minorHAnsi"/>
          <w:b/>
          <w:bCs/>
        </w:rPr>
        <w:t>externa al Estado</w:t>
      </w:r>
      <w:r w:rsidRPr="00997C05">
        <w:rPr>
          <w:rFonts w:asciiTheme="minorHAnsi" w:hAnsiTheme="minorHAnsi"/>
        </w:rPr>
        <w:t xml:space="preserve">. Igualmente, cuando la garantía  de la eficacia de tal limitación; es decir, </w:t>
      </w:r>
      <w:r w:rsidRPr="00997C05">
        <w:rPr>
          <w:rFonts w:asciiTheme="minorHAnsi" w:hAnsiTheme="minorHAnsi"/>
          <w:b/>
          <w:bCs/>
        </w:rPr>
        <w:t>el control del poder</w:t>
      </w:r>
      <w:r w:rsidRPr="00997C05">
        <w:rPr>
          <w:rFonts w:asciiTheme="minorHAnsi" w:hAnsiTheme="minorHAnsi"/>
        </w:rPr>
        <w:t xml:space="preserve"> –con independencia de complementarios controles internos, como la división de poderes- se encuentra también en una instancia </w:t>
      </w:r>
      <w:r w:rsidRPr="00997C05">
        <w:rPr>
          <w:rFonts w:asciiTheme="minorHAnsi" w:hAnsiTheme="minorHAnsi"/>
          <w:b/>
          <w:bCs/>
        </w:rPr>
        <w:t>externa el Estado</w:t>
      </w:r>
      <w:r w:rsidRPr="00997C05">
        <w:rPr>
          <w:rFonts w:asciiTheme="minorHAnsi" w:hAnsiTheme="minorHAnsi"/>
        </w:rPr>
        <w:t>. Y ¿que hay externo al Estado? La sociedad…Por tanto, sólo atribuyendo la titularidad de la soberanía al pueblo; Sólo asegurando jurídicamente las libertades que le permiten la libre manifestación de voluntad y que mantienen el espacio político abierto para permitir el control y la reversibilidad de quienes ejercen el poder; sólo en estas condiciones, es posible hablar de un Estado sistemática y globalmente sometido a derecho y, por tanto, de la existencia del derecho constitucional…”</w:t>
      </w:r>
    </w:p>
    <w:p w:rsidR="00883413" w:rsidRPr="00997C05" w:rsidRDefault="00883413" w:rsidP="00E87A0F">
      <w:pPr>
        <w:pStyle w:val="Textonotapie"/>
        <w:jc w:val="both"/>
        <w:rPr>
          <w:rFonts w:asciiTheme="minorHAnsi" w:hAnsiTheme="minorHAnsi"/>
        </w:rPr>
      </w:pPr>
      <w:r w:rsidRPr="00997C05">
        <w:rPr>
          <w:rFonts w:asciiTheme="minorHAnsi" w:hAnsiTheme="minorHAnsi"/>
        </w:rPr>
        <w:t>Carmen Fernández-Miranda Campoamor, Alfonso Fernández-Miranda Campoamor. Sistema electoral, Partidos Políticos y Parlamento. Editorial Colex, Madrid 2008, pp.17.</w:t>
      </w:r>
    </w:p>
  </w:footnote>
  <w:footnote w:id="6">
    <w:p w:rsidR="00883413" w:rsidRPr="00997C05" w:rsidRDefault="00883413" w:rsidP="00760112">
      <w:pPr>
        <w:pStyle w:val="Textonotapie"/>
        <w:jc w:val="both"/>
        <w:rPr>
          <w:rFonts w:asciiTheme="minorHAnsi" w:hAnsiTheme="minorHAnsi"/>
        </w:rPr>
      </w:pPr>
      <w:r w:rsidRPr="00997C05">
        <w:rPr>
          <w:rStyle w:val="Refdenotaalpie"/>
          <w:rFonts w:asciiTheme="minorHAnsi" w:hAnsiTheme="minorHAnsi"/>
        </w:rPr>
        <w:footnoteRef/>
      </w:r>
      <w:r w:rsidRPr="00997C05">
        <w:rPr>
          <w:rFonts w:asciiTheme="minorHAnsi" w:hAnsiTheme="minorHAnsi"/>
        </w:rPr>
        <w:t xml:space="preserve"> De Vega Pedro. La reforma Constitucional y la problemática del poder constituyente. Tecnos, Madrid 1988, pp.88.</w:t>
      </w:r>
    </w:p>
  </w:footnote>
  <w:footnote w:id="7">
    <w:p w:rsidR="00883413" w:rsidRPr="00997C05" w:rsidRDefault="00883413" w:rsidP="00760112">
      <w:pPr>
        <w:pStyle w:val="Textonotapie"/>
        <w:jc w:val="both"/>
        <w:rPr>
          <w:rFonts w:asciiTheme="minorHAnsi" w:hAnsiTheme="minorHAnsi"/>
        </w:rPr>
      </w:pPr>
      <w:r w:rsidRPr="00997C05">
        <w:rPr>
          <w:rStyle w:val="Refdenotaalpie"/>
          <w:rFonts w:asciiTheme="minorHAnsi" w:hAnsiTheme="minorHAnsi"/>
        </w:rPr>
        <w:footnoteRef/>
      </w:r>
      <w:r w:rsidRPr="00997C05">
        <w:rPr>
          <w:rFonts w:asciiTheme="minorHAnsi" w:hAnsiTheme="minorHAnsi"/>
        </w:rPr>
        <w:t xml:space="preserve"> Aragón Manuel. Constitución…op cit. pp. 34.</w:t>
      </w:r>
    </w:p>
  </w:footnote>
  <w:footnote w:id="8">
    <w:p w:rsidR="00883413" w:rsidRPr="005A1D9A" w:rsidRDefault="00883413" w:rsidP="003B3708">
      <w:pPr>
        <w:pStyle w:val="Textonotapie"/>
        <w:jc w:val="both"/>
        <w:rPr>
          <w:rFonts w:asciiTheme="minorHAnsi" w:hAnsiTheme="minorHAnsi"/>
        </w:rPr>
      </w:pPr>
      <w:r w:rsidRPr="005A1D9A">
        <w:rPr>
          <w:rStyle w:val="Refdenotaalpie"/>
          <w:rFonts w:asciiTheme="minorHAnsi" w:hAnsiTheme="minorHAnsi"/>
        </w:rPr>
        <w:footnoteRef/>
      </w:r>
      <w:r w:rsidRPr="005A1D9A">
        <w:rPr>
          <w:rFonts w:asciiTheme="minorHAnsi" w:hAnsiTheme="minorHAnsi"/>
        </w:rPr>
        <w:t xml:space="preserve"> </w:t>
      </w:r>
      <w:r>
        <w:rPr>
          <w:rFonts w:asciiTheme="minorHAnsi" w:hAnsiTheme="minorHAnsi"/>
        </w:rPr>
        <w:t>Nogueira Humberto. Derechos fundamentales y garantías constitucionales. Tomo III. Librotecnia, Santiago, 2009, pp. 10.</w:t>
      </w:r>
    </w:p>
  </w:footnote>
  <w:footnote w:id="9">
    <w:p w:rsidR="00883413" w:rsidRPr="009029D0" w:rsidRDefault="00883413" w:rsidP="009029D0">
      <w:pPr>
        <w:pStyle w:val="Textonotapie"/>
        <w:jc w:val="both"/>
        <w:rPr>
          <w:rFonts w:asciiTheme="minorHAnsi" w:hAnsiTheme="minorHAnsi"/>
        </w:rPr>
      </w:pPr>
      <w:r w:rsidRPr="009029D0">
        <w:rPr>
          <w:rStyle w:val="Refdenotaalpie"/>
          <w:rFonts w:asciiTheme="minorHAnsi" w:hAnsiTheme="minorHAnsi"/>
        </w:rPr>
        <w:footnoteRef/>
      </w:r>
      <w:r w:rsidRPr="009029D0">
        <w:rPr>
          <w:rFonts w:asciiTheme="minorHAnsi" w:hAnsiTheme="minorHAnsi"/>
        </w:rPr>
        <w:t xml:space="preserve"> </w:t>
      </w:r>
      <w:r>
        <w:rPr>
          <w:rFonts w:asciiTheme="minorHAnsi" w:hAnsiTheme="minorHAnsi"/>
        </w:rPr>
        <w:t>Artículo 2.1</w:t>
      </w:r>
      <w:r w:rsidRPr="009029D0">
        <w:rPr>
          <w:rFonts w:asciiTheme="minorHAnsi" w:hAnsiTheme="minorHAnsi"/>
        </w:rPr>
        <w:t xml:space="preserve"> </w:t>
      </w:r>
      <w:r>
        <w:rPr>
          <w:rFonts w:asciiTheme="minorHAnsi" w:hAnsiTheme="minorHAnsi"/>
        </w:rPr>
        <w:t xml:space="preserve">PIDESC: “Cada uno de los Estados en el presente Pacto se compromete a adoptar medidas, tanto por separado como mediante la asistencia y la cooperación internacionales, especialmente económicas y técnicas, hasta el máximo de los recursos que disponga, para lograr progresivamente, por todos los medios apropiados, inclusive en particular la adopción de medidas legislativas”. </w:t>
      </w:r>
    </w:p>
  </w:footnote>
  <w:footnote w:id="10">
    <w:p w:rsidR="00883413" w:rsidRPr="00437A60" w:rsidRDefault="00883413" w:rsidP="00437A60">
      <w:pPr>
        <w:pStyle w:val="Textonotapie"/>
        <w:jc w:val="both"/>
        <w:rPr>
          <w:rFonts w:asciiTheme="minorHAnsi" w:hAnsiTheme="minorHAnsi"/>
        </w:rPr>
      </w:pPr>
      <w:r w:rsidRPr="00437A60">
        <w:rPr>
          <w:rStyle w:val="Refdenotaalpie"/>
          <w:rFonts w:asciiTheme="minorHAnsi" w:hAnsiTheme="minorHAnsi"/>
        </w:rPr>
        <w:footnoteRef/>
      </w:r>
      <w:r w:rsidRPr="00437A60">
        <w:rPr>
          <w:rFonts w:asciiTheme="minorHAnsi" w:hAnsiTheme="minorHAnsi"/>
        </w:rPr>
        <w:t xml:space="preserve"> </w:t>
      </w:r>
      <w:r>
        <w:rPr>
          <w:rFonts w:asciiTheme="minorHAnsi" w:hAnsiTheme="minorHAnsi"/>
        </w:rPr>
        <w:t>Abramovich Víctor y Courtis Christian. Los derechos sociales como derechos exigibles. Trotta, Madrid, 2002, pp. 93-ss.</w:t>
      </w:r>
    </w:p>
  </w:footnote>
  <w:footnote w:id="11">
    <w:p w:rsidR="00883413" w:rsidRDefault="00883413">
      <w:pPr>
        <w:pStyle w:val="Textonotapie"/>
      </w:pPr>
      <w:r>
        <w:rPr>
          <w:rStyle w:val="Refdenotaalpie"/>
        </w:rPr>
        <w:footnoteRef/>
      </w:r>
      <w:r>
        <w:t xml:space="preserve"> </w:t>
      </w:r>
      <w:r>
        <w:rPr>
          <w:rFonts w:asciiTheme="minorHAnsi" w:hAnsiTheme="minorHAnsi"/>
        </w:rPr>
        <w:t>Abramovich Víctor y Courtis Christian. Op. cit., pp. 80-81.</w:t>
      </w:r>
    </w:p>
  </w:footnote>
  <w:footnote w:id="12">
    <w:p w:rsidR="00883413" w:rsidRPr="009E4AA7" w:rsidRDefault="00883413" w:rsidP="009E4AA7">
      <w:pPr>
        <w:autoSpaceDE w:val="0"/>
        <w:autoSpaceDN w:val="0"/>
        <w:adjustRightInd w:val="0"/>
        <w:spacing w:after="0" w:line="240" w:lineRule="auto"/>
        <w:jc w:val="both"/>
        <w:rPr>
          <w:sz w:val="20"/>
          <w:szCs w:val="20"/>
        </w:rPr>
      </w:pPr>
      <w:r w:rsidRPr="009E4AA7">
        <w:rPr>
          <w:rStyle w:val="Refdenotaalpie"/>
        </w:rPr>
        <w:footnoteRef/>
      </w:r>
      <w:r w:rsidRPr="009E4AA7">
        <w:t xml:space="preserve"> </w:t>
      </w:r>
      <w:r w:rsidRPr="009E4AA7">
        <w:rPr>
          <w:sz w:val="20"/>
          <w:szCs w:val="20"/>
        </w:rPr>
        <w:t>Observación General Nº3 “</w:t>
      </w:r>
      <w:r w:rsidRPr="009E4AA7">
        <w:rPr>
          <w:rFonts w:cs="Times-Roman"/>
          <w:sz w:val="20"/>
          <w:szCs w:val="20"/>
        </w:rPr>
        <w:t>La índole de las obligaciones de los Estados Partes (párrafo 1 del artículo 2 del Pacto)”, del Comité PIDESC, párrafo 8.</w:t>
      </w:r>
    </w:p>
  </w:footnote>
  <w:footnote w:id="13">
    <w:p w:rsidR="00883413" w:rsidRPr="00E57696" w:rsidRDefault="00883413" w:rsidP="00FF5D26">
      <w:pPr>
        <w:pStyle w:val="Textonotapie"/>
        <w:jc w:val="both"/>
        <w:rPr>
          <w:rFonts w:asciiTheme="minorHAnsi" w:hAnsiTheme="minorHAnsi"/>
        </w:rPr>
      </w:pPr>
      <w:r w:rsidRPr="00CE0374">
        <w:rPr>
          <w:rStyle w:val="Refdenotaalpie"/>
          <w:rFonts w:asciiTheme="minorHAnsi" w:hAnsiTheme="minorHAnsi"/>
        </w:rPr>
        <w:footnoteRef/>
      </w:r>
      <w:r w:rsidRPr="00E57696">
        <w:rPr>
          <w:rFonts w:asciiTheme="minorHAnsi" w:hAnsiTheme="minorHAnsi"/>
        </w:rPr>
        <w:t xml:space="preserve"> </w:t>
      </w:r>
      <w:r w:rsidR="00E57696" w:rsidRPr="00E57696">
        <w:rPr>
          <w:rFonts w:asciiTheme="minorHAnsi" w:hAnsiTheme="minorHAnsi"/>
        </w:rPr>
        <w:t xml:space="preserve">Hunt Paul. </w:t>
      </w:r>
      <w:r w:rsidR="00E57696">
        <w:rPr>
          <w:rFonts w:asciiTheme="minorHAnsi" w:hAnsiTheme="minorHAnsi"/>
        </w:rPr>
        <w:t>Relator Especial</w:t>
      </w:r>
      <w:r w:rsidR="00FF5D26">
        <w:rPr>
          <w:rFonts w:asciiTheme="minorHAnsi" w:hAnsiTheme="minorHAnsi"/>
        </w:rPr>
        <w:t xml:space="preserve"> de las</w:t>
      </w:r>
      <w:r w:rsidR="00E57696" w:rsidRPr="00E57696">
        <w:rPr>
          <w:rFonts w:asciiTheme="minorHAnsi" w:hAnsiTheme="minorHAnsi"/>
        </w:rPr>
        <w:t xml:space="preserve"> Naciones Unidas</w:t>
      </w:r>
      <w:r w:rsidR="00E57696">
        <w:rPr>
          <w:rFonts w:asciiTheme="minorHAnsi" w:hAnsiTheme="minorHAnsi"/>
        </w:rPr>
        <w:t>, Doc</w:t>
      </w:r>
      <w:r w:rsidR="00FF5D26">
        <w:rPr>
          <w:rFonts w:asciiTheme="minorHAnsi" w:hAnsiTheme="minorHAnsi"/>
        </w:rPr>
        <w:t>umento</w:t>
      </w:r>
      <w:r w:rsidR="00E57696" w:rsidRPr="00E57696">
        <w:rPr>
          <w:rFonts w:asciiTheme="minorHAnsi" w:hAnsiTheme="minorHAnsi"/>
        </w:rPr>
        <w:t>: E/CN.4/2004/49/Add.1,</w:t>
      </w:r>
      <w:r w:rsidR="00E57696">
        <w:rPr>
          <w:rFonts w:asciiTheme="minorHAnsi" w:hAnsiTheme="minorHAnsi"/>
        </w:rPr>
        <w:t xml:space="preserve"> 2004</w:t>
      </w:r>
      <w:r w:rsidR="00C42A99">
        <w:rPr>
          <w:rFonts w:asciiTheme="minorHAnsi" w:hAnsiTheme="minorHAnsi"/>
        </w:rPr>
        <w:t>, párrafos 11-12.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C87ABB"/>
    <w:multiLevelType w:val="hybridMultilevel"/>
    <w:tmpl w:val="9A28968A"/>
    <w:lvl w:ilvl="0" w:tplc="0CB85260">
      <w:start w:val="4"/>
      <w:numFmt w:val="bullet"/>
      <w:lvlText w:val="-"/>
      <w:lvlJc w:val="left"/>
      <w:pPr>
        <w:ind w:left="720" w:hanging="360"/>
      </w:pPr>
      <w:rPr>
        <w:rFonts w:ascii="Calibri" w:eastAsiaTheme="minorHAnsi" w:hAnsi="Calibri" w:cs="Times-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7B401394"/>
    <w:multiLevelType w:val="hybridMultilevel"/>
    <w:tmpl w:val="11C86822"/>
    <w:lvl w:ilvl="0" w:tplc="0C0A000F">
      <w:start w:val="1"/>
      <w:numFmt w:val="decimal"/>
      <w:lvlText w:val="%1."/>
      <w:lvlJc w:val="left"/>
      <w:pPr>
        <w:ind w:left="720" w:hanging="36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740"/>
    <w:rsid w:val="00025161"/>
    <w:rsid w:val="00041585"/>
    <w:rsid w:val="00082040"/>
    <w:rsid w:val="000879E5"/>
    <w:rsid w:val="000C05D0"/>
    <w:rsid w:val="000D0DBF"/>
    <w:rsid w:val="000F3F22"/>
    <w:rsid w:val="00113C07"/>
    <w:rsid w:val="0013241C"/>
    <w:rsid w:val="001E691E"/>
    <w:rsid w:val="0021194A"/>
    <w:rsid w:val="002735D0"/>
    <w:rsid w:val="002C5371"/>
    <w:rsid w:val="002F79D8"/>
    <w:rsid w:val="003102EF"/>
    <w:rsid w:val="00315E74"/>
    <w:rsid w:val="00335712"/>
    <w:rsid w:val="00341BE8"/>
    <w:rsid w:val="00350B25"/>
    <w:rsid w:val="00381609"/>
    <w:rsid w:val="003A208B"/>
    <w:rsid w:val="003A5D52"/>
    <w:rsid w:val="003B3708"/>
    <w:rsid w:val="003E1D14"/>
    <w:rsid w:val="00415D32"/>
    <w:rsid w:val="00430CCE"/>
    <w:rsid w:val="00437A60"/>
    <w:rsid w:val="00456740"/>
    <w:rsid w:val="0047373D"/>
    <w:rsid w:val="00496F67"/>
    <w:rsid w:val="004A74EE"/>
    <w:rsid w:val="004B0B38"/>
    <w:rsid w:val="004F6F4E"/>
    <w:rsid w:val="005356B4"/>
    <w:rsid w:val="00555B3B"/>
    <w:rsid w:val="00557671"/>
    <w:rsid w:val="005A1D9A"/>
    <w:rsid w:val="005A60A9"/>
    <w:rsid w:val="005B3376"/>
    <w:rsid w:val="005C22DD"/>
    <w:rsid w:val="005C7B99"/>
    <w:rsid w:val="005E38DA"/>
    <w:rsid w:val="00614A07"/>
    <w:rsid w:val="0063676D"/>
    <w:rsid w:val="006578B2"/>
    <w:rsid w:val="006B14A3"/>
    <w:rsid w:val="006B5920"/>
    <w:rsid w:val="006B7ADD"/>
    <w:rsid w:val="006F4510"/>
    <w:rsid w:val="0073022D"/>
    <w:rsid w:val="00760112"/>
    <w:rsid w:val="007B184F"/>
    <w:rsid w:val="00813E56"/>
    <w:rsid w:val="0082503C"/>
    <w:rsid w:val="00844661"/>
    <w:rsid w:val="00845CE3"/>
    <w:rsid w:val="00881110"/>
    <w:rsid w:val="00883413"/>
    <w:rsid w:val="008F0796"/>
    <w:rsid w:val="008F1258"/>
    <w:rsid w:val="009029D0"/>
    <w:rsid w:val="0093206A"/>
    <w:rsid w:val="00933430"/>
    <w:rsid w:val="00960468"/>
    <w:rsid w:val="00960BA4"/>
    <w:rsid w:val="009653D1"/>
    <w:rsid w:val="009951C6"/>
    <w:rsid w:val="00997C05"/>
    <w:rsid w:val="009E0F52"/>
    <w:rsid w:val="009E3B02"/>
    <w:rsid w:val="009E4AA7"/>
    <w:rsid w:val="00A306F8"/>
    <w:rsid w:val="00A33A79"/>
    <w:rsid w:val="00A33E15"/>
    <w:rsid w:val="00A7560F"/>
    <w:rsid w:val="00AD7792"/>
    <w:rsid w:val="00B846E3"/>
    <w:rsid w:val="00B9295F"/>
    <w:rsid w:val="00BB1D86"/>
    <w:rsid w:val="00BC0855"/>
    <w:rsid w:val="00BD5044"/>
    <w:rsid w:val="00BF1465"/>
    <w:rsid w:val="00C15B3E"/>
    <w:rsid w:val="00C42A99"/>
    <w:rsid w:val="00C50A73"/>
    <w:rsid w:val="00C55E0C"/>
    <w:rsid w:val="00C7357A"/>
    <w:rsid w:val="00C96802"/>
    <w:rsid w:val="00CE0374"/>
    <w:rsid w:val="00CE7680"/>
    <w:rsid w:val="00D11366"/>
    <w:rsid w:val="00D128F1"/>
    <w:rsid w:val="00D15FD1"/>
    <w:rsid w:val="00D16CC0"/>
    <w:rsid w:val="00D80529"/>
    <w:rsid w:val="00D878B1"/>
    <w:rsid w:val="00E06BEE"/>
    <w:rsid w:val="00E57696"/>
    <w:rsid w:val="00E87A0F"/>
    <w:rsid w:val="00E90048"/>
    <w:rsid w:val="00E95409"/>
    <w:rsid w:val="00EC329A"/>
    <w:rsid w:val="00ED0EDF"/>
    <w:rsid w:val="00EE0F1A"/>
    <w:rsid w:val="00F03692"/>
    <w:rsid w:val="00F04DE5"/>
    <w:rsid w:val="00F12979"/>
    <w:rsid w:val="00F16DBE"/>
    <w:rsid w:val="00F3352C"/>
    <w:rsid w:val="00FC5F08"/>
    <w:rsid w:val="00FF5D2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aliases w:val="Footnote Text Char Char Char Char Char,Footnote Text Char Char Char Char,Footnote reference,FA Fu,Footnote Text Char Char Char"/>
    <w:basedOn w:val="Normal"/>
    <w:link w:val="TextonotapieCar"/>
    <w:semiHidden/>
    <w:rsid w:val="00E87A0F"/>
    <w:pPr>
      <w:spacing w:after="0" w:line="240" w:lineRule="auto"/>
    </w:pPr>
    <w:rPr>
      <w:rFonts w:ascii="Times New Roman" w:eastAsia="SimSun" w:hAnsi="Times New Roman" w:cs="Times New Roman"/>
      <w:sz w:val="20"/>
      <w:szCs w:val="20"/>
      <w:lang w:eastAsia="zh-CN"/>
    </w:rPr>
  </w:style>
  <w:style w:type="character" w:customStyle="1" w:styleId="TextonotapieCar">
    <w:name w:val="Texto nota pie Car"/>
    <w:aliases w:val="Footnote Text Char Char Char Char Char Car,Footnote Text Char Char Char Char Car,Footnote reference Car,FA Fu Car,Footnote Text Char Char Char Car"/>
    <w:basedOn w:val="Fuentedeprrafopredeter"/>
    <w:link w:val="Textonotapie"/>
    <w:semiHidden/>
    <w:rsid w:val="00E87A0F"/>
    <w:rPr>
      <w:rFonts w:ascii="Times New Roman" w:eastAsia="SimSun" w:hAnsi="Times New Roman" w:cs="Times New Roman"/>
      <w:sz w:val="20"/>
      <w:szCs w:val="20"/>
      <w:lang w:eastAsia="zh-CN"/>
    </w:rPr>
  </w:style>
  <w:style w:type="character" w:styleId="Refdenotaalpie">
    <w:name w:val="footnote reference"/>
    <w:basedOn w:val="Fuentedeprrafopredeter"/>
    <w:semiHidden/>
    <w:rsid w:val="00E87A0F"/>
    <w:rPr>
      <w:vertAlign w:val="superscript"/>
    </w:rPr>
  </w:style>
  <w:style w:type="paragraph" w:styleId="NormalWeb">
    <w:name w:val="Normal (Web)"/>
    <w:basedOn w:val="Normal"/>
    <w:rsid w:val="00760112"/>
    <w:pPr>
      <w:spacing w:before="100" w:beforeAutospacing="1" w:after="100" w:afterAutospacing="1" w:line="240" w:lineRule="auto"/>
    </w:pPr>
    <w:rPr>
      <w:rFonts w:ascii="Times New Roman" w:eastAsia="SimSun" w:hAnsi="Times New Roman" w:cs="Times New Roman"/>
      <w:sz w:val="24"/>
      <w:szCs w:val="24"/>
      <w:lang w:eastAsia="zh-CN"/>
    </w:rPr>
  </w:style>
  <w:style w:type="paragraph" w:styleId="Encabezado">
    <w:name w:val="header"/>
    <w:basedOn w:val="Normal"/>
    <w:link w:val="EncabezadoCar"/>
    <w:uiPriority w:val="99"/>
    <w:semiHidden/>
    <w:unhideWhenUsed/>
    <w:rsid w:val="0073022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73022D"/>
  </w:style>
  <w:style w:type="paragraph" w:styleId="Piedepgina">
    <w:name w:val="footer"/>
    <w:basedOn w:val="Normal"/>
    <w:link w:val="PiedepginaCar"/>
    <w:uiPriority w:val="99"/>
    <w:unhideWhenUsed/>
    <w:rsid w:val="0073022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3022D"/>
  </w:style>
  <w:style w:type="paragraph" w:styleId="Prrafodelista">
    <w:name w:val="List Paragraph"/>
    <w:basedOn w:val="Normal"/>
    <w:uiPriority w:val="34"/>
    <w:qFormat/>
    <w:rsid w:val="00D80529"/>
    <w:pPr>
      <w:ind w:left="720"/>
      <w:contextualSpacing/>
    </w:pPr>
  </w:style>
  <w:style w:type="character" w:customStyle="1" w:styleId="hps">
    <w:name w:val="hps"/>
    <w:basedOn w:val="Fuentedeprrafopredeter"/>
    <w:rsid w:val="008834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aliases w:val="Footnote Text Char Char Char Char Char,Footnote Text Char Char Char Char,Footnote reference,FA Fu,Footnote Text Char Char Char"/>
    <w:basedOn w:val="Normal"/>
    <w:link w:val="TextonotapieCar"/>
    <w:semiHidden/>
    <w:rsid w:val="00E87A0F"/>
    <w:pPr>
      <w:spacing w:after="0" w:line="240" w:lineRule="auto"/>
    </w:pPr>
    <w:rPr>
      <w:rFonts w:ascii="Times New Roman" w:eastAsia="SimSun" w:hAnsi="Times New Roman" w:cs="Times New Roman"/>
      <w:sz w:val="20"/>
      <w:szCs w:val="20"/>
      <w:lang w:eastAsia="zh-CN"/>
    </w:rPr>
  </w:style>
  <w:style w:type="character" w:customStyle="1" w:styleId="TextonotapieCar">
    <w:name w:val="Texto nota pie Car"/>
    <w:aliases w:val="Footnote Text Char Char Char Char Char Car,Footnote Text Char Char Char Char Car,Footnote reference Car,FA Fu Car,Footnote Text Char Char Char Car"/>
    <w:basedOn w:val="Fuentedeprrafopredeter"/>
    <w:link w:val="Textonotapie"/>
    <w:semiHidden/>
    <w:rsid w:val="00E87A0F"/>
    <w:rPr>
      <w:rFonts w:ascii="Times New Roman" w:eastAsia="SimSun" w:hAnsi="Times New Roman" w:cs="Times New Roman"/>
      <w:sz w:val="20"/>
      <w:szCs w:val="20"/>
      <w:lang w:eastAsia="zh-CN"/>
    </w:rPr>
  </w:style>
  <w:style w:type="character" w:styleId="Refdenotaalpie">
    <w:name w:val="footnote reference"/>
    <w:basedOn w:val="Fuentedeprrafopredeter"/>
    <w:semiHidden/>
    <w:rsid w:val="00E87A0F"/>
    <w:rPr>
      <w:vertAlign w:val="superscript"/>
    </w:rPr>
  </w:style>
  <w:style w:type="paragraph" w:styleId="NormalWeb">
    <w:name w:val="Normal (Web)"/>
    <w:basedOn w:val="Normal"/>
    <w:rsid w:val="00760112"/>
    <w:pPr>
      <w:spacing w:before="100" w:beforeAutospacing="1" w:after="100" w:afterAutospacing="1" w:line="240" w:lineRule="auto"/>
    </w:pPr>
    <w:rPr>
      <w:rFonts w:ascii="Times New Roman" w:eastAsia="SimSun" w:hAnsi="Times New Roman" w:cs="Times New Roman"/>
      <w:sz w:val="24"/>
      <w:szCs w:val="24"/>
      <w:lang w:eastAsia="zh-CN"/>
    </w:rPr>
  </w:style>
  <w:style w:type="paragraph" w:styleId="Encabezado">
    <w:name w:val="header"/>
    <w:basedOn w:val="Normal"/>
    <w:link w:val="EncabezadoCar"/>
    <w:uiPriority w:val="99"/>
    <w:semiHidden/>
    <w:unhideWhenUsed/>
    <w:rsid w:val="0073022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73022D"/>
  </w:style>
  <w:style w:type="paragraph" w:styleId="Piedepgina">
    <w:name w:val="footer"/>
    <w:basedOn w:val="Normal"/>
    <w:link w:val="PiedepginaCar"/>
    <w:uiPriority w:val="99"/>
    <w:unhideWhenUsed/>
    <w:rsid w:val="0073022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3022D"/>
  </w:style>
  <w:style w:type="paragraph" w:styleId="Prrafodelista">
    <w:name w:val="List Paragraph"/>
    <w:basedOn w:val="Normal"/>
    <w:uiPriority w:val="34"/>
    <w:qFormat/>
    <w:rsid w:val="00D80529"/>
    <w:pPr>
      <w:ind w:left="720"/>
      <w:contextualSpacing/>
    </w:pPr>
  </w:style>
  <w:style w:type="character" w:customStyle="1" w:styleId="hps">
    <w:name w:val="hps"/>
    <w:basedOn w:val="Fuentedeprrafopredeter"/>
    <w:rsid w:val="00883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cooperativa.cl/presidente-lagos--reformas-constitucionales-marcan-el-fin-de-la-transicion/prontus_nots/2005-07-14/100948.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AA7581-C7C2-4CD7-9C48-63CCD766A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2226</Words>
  <Characters>12244</Characters>
  <Application>Microsoft Office Word</Application>
  <DocSecurity>0</DocSecurity>
  <Lines>102</Lines>
  <Paragraphs>28</Paragraphs>
  <ScaleCrop>false</ScaleCrop>
  <HeadingPairs>
    <vt:vector size="2" baseType="variant">
      <vt:variant>
        <vt:lpstr>Título</vt:lpstr>
      </vt:variant>
      <vt:variant>
        <vt:i4>1</vt:i4>
      </vt:variant>
    </vt:vector>
  </HeadingPairs>
  <TitlesOfParts>
    <vt:vector size="1" baseType="lpstr">
      <vt:lpstr/>
    </vt:vector>
  </TitlesOfParts>
  <Company>Universidad de Talca</Company>
  <LinksUpToDate>false</LinksUpToDate>
  <CharactersWithSpaces>14442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U.Talca</dc:creator>
  <cp:lastModifiedBy>Profesor</cp:lastModifiedBy>
  <cp:revision>2</cp:revision>
  <dcterms:created xsi:type="dcterms:W3CDTF">2013-09-25T12:14:00Z</dcterms:created>
  <dcterms:modified xsi:type="dcterms:W3CDTF">2013-09-25T12:14:00Z</dcterms:modified>
</cp:coreProperties>
</file>